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B25" w:rsidRDefault="00AD4B25" w:rsidP="00F92174">
      <w:pPr>
        <w:pStyle w:val="Heading1"/>
        <w:spacing w:line="480" w:lineRule="auto"/>
        <w:jc w:val="center"/>
        <w:rPr>
          <w:rFonts w:ascii="Times New Roman" w:hAnsi="Times New Roman" w:cs="Times New Roman"/>
          <w:sz w:val="24"/>
          <w:szCs w:val="24"/>
        </w:rPr>
      </w:pPr>
    </w:p>
    <w:p w:rsidR="00B018DD" w:rsidRDefault="00B018DD" w:rsidP="00F92174">
      <w:pPr>
        <w:spacing w:line="480" w:lineRule="auto"/>
        <w:ind w:left="720"/>
        <w:jc w:val="center"/>
        <w:rPr>
          <w:noProof/>
        </w:rPr>
      </w:pPr>
    </w:p>
    <w:p w:rsidR="00B2575D" w:rsidRDefault="00B2575D" w:rsidP="00F92174">
      <w:pPr>
        <w:spacing w:line="480" w:lineRule="auto"/>
        <w:ind w:left="720"/>
        <w:jc w:val="center"/>
        <w:rPr>
          <w:noProof/>
        </w:rPr>
      </w:pPr>
    </w:p>
    <w:p w:rsidR="00B2575D" w:rsidRDefault="00B2575D" w:rsidP="00F92174">
      <w:pPr>
        <w:spacing w:line="480" w:lineRule="auto"/>
        <w:ind w:left="720"/>
        <w:jc w:val="center"/>
        <w:rPr>
          <w:noProof/>
        </w:rPr>
      </w:pPr>
    </w:p>
    <w:p w:rsidR="00B2575D" w:rsidRDefault="00B2575D" w:rsidP="00F92174">
      <w:pPr>
        <w:spacing w:line="480" w:lineRule="auto"/>
        <w:ind w:left="720"/>
        <w:jc w:val="center"/>
        <w:rPr>
          <w:noProof/>
        </w:rPr>
      </w:pPr>
    </w:p>
    <w:p w:rsidR="00B2575D" w:rsidRDefault="00B2575D" w:rsidP="00F92174">
      <w:pPr>
        <w:spacing w:line="480" w:lineRule="auto"/>
        <w:ind w:left="720"/>
        <w:jc w:val="center"/>
        <w:rPr>
          <w:noProof/>
        </w:rPr>
      </w:pPr>
    </w:p>
    <w:p w:rsidR="00B2575D" w:rsidRDefault="00B2575D" w:rsidP="00F92174">
      <w:pPr>
        <w:spacing w:line="480" w:lineRule="auto"/>
        <w:ind w:left="720"/>
        <w:jc w:val="center"/>
        <w:rPr>
          <w:noProof/>
        </w:rPr>
      </w:pPr>
    </w:p>
    <w:p w:rsidR="00B2575D" w:rsidRDefault="00B2575D" w:rsidP="00F92174">
      <w:pPr>
        <w:spacing w:line="480" w:lineRule="auto"/>
        <w:ind w:left="720"/>
        <w:jc w:val="center"/>
      </w:pPr>
    </w:p>
    <w:p w:rsidR="00CE3DAF" w:rsidRPr="00CC4F5C" w:rsidRDefault="00B22814" w:rsidP="00F92174">
      <w:pPr>
        <w:spacing w:line="480" w:lineRule="auto"/>
        <w:ind w:left="720"/>
        <w:jc w:val="center"/>
      </w:pPr>
      <w:r>
        <w:t xml:space="preserve">Strategic </w:t>
      </w:r>
      <w:r w:rsidR="0057242C">
        <w:t>Assessment of Chipot</w:t>
      </w:r>
      <w:r w:rsidR="00224D38">
        <w:t>l</w:t>
      </w:r>
      <w:r w:rsidR="0057242C">
        <w:t xml:space="preserve">e </w:t>
      </w:r>
      <w:r w:rsidR="00B169B6">
        <w:t xml:space="preserve">Mexican Grill, Inc. </w:t>
      </w:r>
      <w:r w:rsidR="0057242C">
        <w:t>in Sweden and Norway</w:t>
      </w:r>
      <w:r w:rsidR="00091CCC">
        <w:t xml:space="preserve"> Markets</w:t>
      </w:r>
    </w:p>
    <w:p w:rsidR="00CE3DAF" w:rsidRPr="00CC4F5C" w:rsidRDefault="00AD4B25" w:rsidP="00F92174">
      <w:pPr>
        <w:spacing w:line="480" w:lineRule="auto"/>
        <w:ind w:left="720"/>
        <w:jc w:val="center"/>
      </w:pPr>
      <w:r>
        <w:t>Name:</w:t>
      </w:r>
    </w:p>
    <w:p w:rsidR="00CE3DAF" w:rsidRPr="00CC4F5C" w:rsidRDefault="00B22814" w:rsidP="00F92174">
      <w:pPr>
        <w:spacing w:line="480" w:lineRule="auto"/>
        <w:ind w:left="720"/>
        <w:jc w:val="center"/>
      </w:pPr>
      <w:r>
        <w:t>Course</w:t>
      </w:r>
      <w:r w:rsidR="00AD4B25">
        <w:t xml:space="preserve"> Name:</w:t>
      </w:r>
    </w:p>
    <w:p w:rsidR="00CE3DAF" w:rsidRPr="00CC4F5C" w:rsidRDefault="00CE3DAF" w:rsidP="00F92174">
      <w:pPr>
        <w:spacing w:line="480" w:lineRule="auto"/>
        <w:ind w:left="720"/>
        <w:jc w:val="center"/>
      </w:pPr>
      <w:r w:rsidRPr="00CC4F5C">
        <w:t>Date</w:t>
      </w:r>
    </w:p>
    <w:p w:rsidR="00CE3DAF" w:rsidRDefault="00CE3DAF" w:rsidP="00F92174">
      <w:pPr>
        <w:spacing w:line="480" w:lineRule="auto"/>
        <w:ind w:left="360"/>
      </w:pPr>
    </w:p>
    <w:p w:rsidR="00224D38" w:rsidRDefault="00224D38" w:rsidP="00F92174">
      <w:pPr>
        <w:spacing w:line="480" w:lineRule="auto"/>
        <w:ind w:left="360"/>
      </w:pPr>
    </w:p>
    <w:p w:rsidR="00611C19" w:rsidRDefault="00611C19" w:rsidP="00F92174">
      <w:pPr>
        <w:spacing w:line="480" w:lineRule="auto"/>
        <w:ind w:left="360"/>
      </w:pPr>
    </w:p>
    <w:p w:rsidR="00611C19" w:rsidRDefault="00611C19" w:rsidP="00F92174">
      <w:pPr>
        <w:spacing w:line="480" w:lineRule="auto"/>
        <w:ind w:left="360"/>
      </w:pPr>
    </w:p>
    <w:p w:rsidR="00224D38" w:rsidRPr="00CC4F5C" w:rsidRDefault="00224D38" w:rsidP="00F92174">
      <w:pPr>
        <w:spacing w:line="480" w:lineRule="auto"/>
        <w:ind w:left="360"/>
      </w:pPr>
    </w:p>
    <w:p w:rsidR="00091CCC" w:rsidRDefault="00091CCC" w:rsidP="00A269BD">
      <w:pPr>
        <w:pStyle w:val="Heading1"/>
        <w:spacing w:line="480" w:lineRule="auto"/>
        <w:jc w:val="center"/>
        <w:rPr>
          <w:rFonts w:ascii="Times New Roman" w:hAnsi="Times New Roman" w:cs="Times New Roman"/>
          <w:sz w:val="24"/>
          <w:szCs w:val="24"/>
        </w:rPr>
      </w:pPr>
    </w:p>
    <w:p w:rsidR="00A269BD" w:rsidRDefault="00A269BD" w:rsidP="00A269BD"/>
    <w:p w:rsidR="00A269BD" w:rsidRDefault="00A269BD" w:rsidP="00A269BD"/>
    <w:p w:rsidR="00A269BD" w:rsidRPr="00A269BD" w:rsidRDefault="00A269BD" w:rsidP="00A269BD"/>
    <w:p w:rsidR="00611C19" w:rsidRDefault="00611C19" w:rsidP="00611C19">
      <w:pPr>
        <w:jc w:val="center"/>
      </w:pPr>
      <w:bookmarkStart w:id="0" w:name="_Toc26150077"/>
    </w:p>
    <w:p w:rsidR="00611C19" w:rsidRDefault="00611C19" w:rsidP="00611C19">
      <w:pPr>
        <w:jc w:val="center"/>
      </w:pPr>
    </w:p>
    <w:p w:rsidR="00611C19" w:rsidRDefault="00611C19" w:rsidP="00611C19">
      <w:pPr>
        <w:jc w:val="center"/>
      </w:pPr>
    </w:p>
    <w:p w:rsidR="00611C19" w:rsidRDefault="00611C19" w:rsidP="00611C19">
      <w:pPr>
        <w:jc w:val="center"/>
      </w:pPr>
    </w:p>
    <w:p w:rsidR="00CE3DAF" w:rsidRPr="00CC4F5C" w:rsidRDefault="00B055CB" w:rsidP="00611C19">
      <w:pPr>
        <w:spacing w:line="480" w:lineRule="auto"/>
        <w:jc w:val="center"/>
      </w:pPr>
      <w:r>
        <w:lastRenderedPageBreak/>
        <w:t>EXECUTIVE SUMMARY</w:t>
      </w:r>
      <w:bookmarkEnd w:id="0"/>
    </w:p>
    <w:p w:rsidR="00091CCC" w:rsidRPr="0059539A" w:rsidRDefault="0059539A" w:rsidP="0059539A">
      <w:pPr>
        <w:spacing w:line="480" w:lineRule="auto"/>
        <w:ind w:firstLine="720"/>
      </w:pPr>
      <w:r w:rsidRPr="0059539A">
        <w:t>The study aims to elucidate the role of a critical environmental scanning using the tenets of a PESTLE framework. Using a real example of Chipotle Mexican Grill, Inc. the study reveals that strategic business managers must undertake a rigorous activity to determine the viability of a targeted international market and hedge against the risk of business failure. Importantly, Chipotle has transformed for the past 25 years since its inception, there is a need to leverage on the benefits of international commerce, and the lesson learned to gain the status of a multinational entity</w:t>
      </w:r>
    </w:p>
    <w:p w:rsidR="00611C19" w:rsidRDefault="00611C19" w:rsidP="00F92174">
      <w:pPr>
        <w:spacing w:line="480" w:lineRule="auto"/>
        <w:rPr>
          <w:b/>
        </w:rPr>
      </w:pPr>
    </w:p>
    <w:p w:rsidR="00611C19" w:rsidRDefault="00611C19" w:rsidP="00F92174">
      <w:pPr>
        <w:spacing w:line="480" w:lineRule="auto"/>
        <w:rPr>
          <w:b/>
        </w:rPr>
      </w:pPr>
    </w:p>
    <w:p w:rsidR="00611C19" w:rsidRDefault="00611C19" w:rsidP="00F92174">
      <w:pPr>
        <w:spacing w:line="480" w:lineRule="auto"/>
        <w:rPr>
          <w:b/>
        </w:rPr>
      </w:pPr>
    </w:p>
    <w:p w:rsidR="00611C19" w:rsidRDefault="00611C19" w:rsidP="00F92174">
      <w:pPr>
        <w:spacing w:line="480" w:lineRule="auto"/>
        <w:rPr>
          <w:b/>
        </w:rPr>
      </w:pPr>
    </w:p>
    <w:p w:rsidR="00611C19" w:rsidRDefault="00611C19" w:rsidP="00F92174">
      <w:pPr>
        <w:spacing w:line="480" w:lineRule="auto"/>
        <w:rPr>
          <w:b/>
        </w:rPr>
      </w:pPr>
    </w:p>
    <w:p w:rsidR="00611C19" w:rsidRDefault="00611C19" w:rsidP="00F92174">
      <w:pPr>
        <w:spacing w:line="480" w:lineRule="auto"/>
        <w:rPr>
          <w:b/>
        </w:rPr>
      </w:pPr>
    </w:p>
    <w:p w:rsidR="00611C19" w:rsidRDefault="00611C19" w:rsidP="00F92174">
      <w:pPr>
        <w:spacing w:line="480" w:lineRule="auto"/>
        <w:rPr>
          <w:b/>
        </w:rPr>
      </w:pPr>
    </w:p>
    <w:p w:rsidR="00611C19" w:rsidRDefault="00611C19" w:rsidP="00F92174">
      <w:pPr>
        <w:spacing w:line="480" w:lineRule="auto"/>
        <w:rPr>
          <w:b/>
        </w:rPr>
      </w:pPr>
    </w:p>
    <w:p w:rsidR="00611C19" w:rsidRDefault="00611C19" w:rsidP="00F92174">
      <w:pPr>
        <w:spacing w:line="480" w:lineRule="auto"/>
        <w:rPr>
          <w:b/>
        </w:rPr>
      </w:pPr>
    </w:p>
    <w:p w:rsidR="00611C19" w:rsidRDefault="00611C19" w:rsidP="00F92174">
      <w:pPr>
        <w:spacing w:line="480" w:lineRule="auto"/>
        <w:rPr>
          <w:b/>
        </w:rPr>
      </w:pPr>
    </w:p>
    <w:p w:rsidR="00224D38" w:rsidRDefault="00224D38" w:rsidP="00F92174">
      <w:pPr>
        <w:spacing w:line="480" w:lineRule="auto"/>
        <w:jc w:val="center"/>
        <w:rPr>
          <w:b/>
        </w:rPr>
      </w:pPr>
    </w:p>
    <w:p w:rsidR="00224D38" w:rsidRDefault="00224D38" w:rsidP="00F92174">
      <w:pPr>
        <w:spacing w:line="480" w:lineRule="auto"/>
        <w:jc w:val="center"/>
        <w:rPr>
          <w:b/>
        </w:rPr>
      </w:pPr>
    </w:p>
    <w:p w:rsidR="00224D38" w:rsidRDefault="00224D38" w:rsidP="00F92174">
      <w:pPr>
        <w:spacing w:line="480" w:lineRule="auto"/>
        <w:jc w:val="center"/>
        <w:rPr>
          <w:b/>
        </w:rPr>
      </w:pPr>
    </w:p>
    <w:p w:rsidR="00611C19" w:rsidRDefault="00611C19" w:rsidP="00F92174">
      <w:pPr>
        <w:spacing w:line="480" w:lineRule="auto"/>
        <w:jc w:val="center"/>
        <w:rPr>
          <w:b/>
        </w:rPr>
      </w:pPr>
    </w:p>
    <w:p w:rsidR="0059539A" w:rsidRDefault="0059539A" w:rsidP="00F92174">
      <w:pPr>
        <w:spacing w:line="480" w:lineRule="auto"/>
        <w:jc w:val="center"/>
        <w:rPr>
          <w:b/>
        </w:rPr>
      </w:pPr>
    </w:p>
    <w:p w:rsidR="00CE3DAF" w:rsidRDefault="00920C4A" w:rsidP="00F27E01">
      <w:pPr>
        <w:spacing w:line="480" w:lineRule="auto"/>
        <w:jc w:val="center"/>
        <w:rPr>
          <w:b/>
          <w:color w:val="800000"/>
        </w:rPr>
      </w:pPr>
      <w:r w:rsidRPr="00CC4F5C">
        <w:rPr>
          <w:b/>
        </w:rPr>
        <w:lastRenderedPageBreak/>
        <w:t>TABLE OF CONTENT</w:t>
      </w:r>
    </w:p>
    <w:sdt>
      <w:sdtPr>
        <w:rPr>
          <w:rFonts w:ascii="Times New Roman" w:eastAsia="Times New Roman" w:hAnsi="Times New Roman" w:cs="Times New Roman"/>
          <w:b w:val="0"/>
          <w:bCs w:val="0"/>
          <w:color w:val="auto"/>
          <w:sz w:val="24"/>
          <w:szCs w:val="24"/>
          <w:lang w:eastAsia="en-US"/>
        </w:rPr>
        <w:id w:val="1532142328"/>
        <w:docPartObj>
          <w:docPartGallery w:val="Table of Contents"/>
          <w:docPartUnique/>
        </w:docPartObj>
      </w:sdtPr>
      <w:sdtEndPr>
        <w:rPr>
          <w:noProof/>
        </w:rPr>
      </w:sdtEndPr>
      <w:sdtContent>
        <w:p w:rsidR="00091CCC" w:rsidRPr="003B1C3C" w:rsidRDefault="00091CCC" w:rsidP="00F92174">
          <w:pPr>
            <w:pStyle w:val="TOCHeading"/>
            <w:spacing w:line="240" w:lineRule="auto"/>
            <w:rPr>
              <w:rFonts w:ascii="Times New Roman" w:hAnsi="Times New Roman" w:cs="Times New Roman"/>
              <w:sz w:val="24"/>
              <w:szCs w:val="24"/>
            </w:rPr>
          </w:pPr>
          <w:r w:rsidRPr="003B1C3C">
            <w:rPr>
              <w:rFonts w:ascii="Times New Roman" w:hAnsi="Times New Roman" w:cs="Times New Roman"/>
              <w:sz w:val="24"/>
              <w:szCs w:val="24"/>
            </w:rPr>
            <w:t>Contents</w:t>
          </w:r>
        </w:p>
        <w:p w:rsidR="00611C19" w:rsidRDefault="00091CCC">
          <w:pPr>
            <w:pStyle w:val="TOC1"/>
            <w:tabs>
              <w:tab w:val="right" w:leader="dot" w:pos="9350"/>
            </w:tabs>
            <w:rPr>
              <w:rFonts w:asciiTheme="minorHAnsi" w:eastAsiaTheme="minorEastAsia" w:hAnsiTheme="minorHAnsi" w:cstheme="minorBidi"/>
              <w:noProof/>
              <w:sz w:val="22"/>
              <w:szCs w:val="22"/>
            </w:rPr>
          </w:pPr>
          <w:r w:rsidRPr="003B1C3C">
            <w:fldChar w:fldCharType="begin"/>
          </w:r>
          <w:r w:rsidRPr="003B1C3C">
            <w:instrText xml:space="preserve"> TOC \o "1-3" \h \z \u </w:instrText>
          </w:r>
          <w:r w:rsidRPr="003B1C3C">
            <w:fldChar w:fldCharType="separate"/>
          </w:r>
          <w:hyperlink w:anchor="_Toc26150077" w:history="1">
            <w:r w:rsidR="00611C19" w:rsidRPr="002172D5">
              <w:rPr>
                <w:rStyle w:val="Hyperlink"/>
                <w:rFonts w:eastAsiaTheme="majorEastAsia"/>
                <w:noProof/>
              </w:rPr>
              <w:t>EXECUTIVE SUMMARY</w:t>
            </w:r>
            <w:r w:rsidR="00611C19">
              <w:rPr>
                <w:noProof/>
                <w:webHidden/>
              </w:rPr>
              <w:tab/>
            </w:r>
            <w:r w:rsidR="00611C19">
              <w:rPr>
                <w:noProof/>
                <w:webHidden/>
              </w:rPr>
              <w:fldChar w:fldCharType="begin"/>
            </w:r>
            <w:r w:rsidR="00611C19">
              <w:rPr>
                <w:noProof/>
                <w:webHidden/>
              </w:rPr>
              <w:instrText xml:space="preserve"> PAGEREF _Toc26150077 \h </w:instrText>
            </w:r>
            <w:r w:rsidR="00611C19">
              <w:rPr>
                <w:noProof/>
                <w:webHidden/>
              </w:rPr>
            </w:r>
            <w:r w:rsidR="00611C19">
              <w:rPr>
                <w:noProof/>
                <w:webHidden/>
              </w:rPr>
              <w:fldChar w:fldCharType="separate"/>
            </w:r>
            <w:r w:rsidR="00611C19">
              <w:rPr>
                <w:noProof/>
                <w:webHidden/>
              </w:rPr>
              <w:t>2</w:t>
            </w:r>
            <w:r w:rsidR="00611C19">
              <w:rPr>
                <w:noProof/>
                <w:webHidden/>
              </w:rPr>
              <w:fldChar w:fldCharType="end"/>
            </w:r>
          </w:hyperlink>
        </w:p>
        <w:p w:rsidR="00611C19" w:rsidRDefault="00611C19">
          <w:pPr>
            <w:pStyle w:val="TOC2"/>
            <w:tabs>
              <w:tab w:val="right" w:leader="dot" w:pos="9350"/>
            </w:tabs>
            <w:rPr>
              <w:rFonts w:asciiTheme="minorHAnsi" w:eastAsiaTheme="minorEastAsia" w:hAnsiTheme="minorHAnsi" w:cstheme="minorBidi"/>
              <w:noProof/>
              <w:sz w:val="22"/>
              <w:szCs w:val="22"/>
            </w:rPr>
          </w:pPr>
          <w:hyperlink w:anchor="_Toc26150078" w:history="1">
            <w:r w:rsidRPr="002172D5">
              <w:rPr>
                <w:rStyle w:val="Hyperlink"/>
                <w:rFonts w:eastAsiaTheme="majorEastAsia"/>
                <w:noProof/>
              </w:rPr>
              <w:t>1.0. Introduction</w:t>
            </w:r>
            <w:r>
              <w:rPr>
                <w:noProof/>
                <w:webHidden/>
              </w:rPr>
              <w:tab/>
            </w:r>
            <w:r>
              <w:rPr>
                <w:noProof/>
                <w:webHidden/>
              </w:rPr>
              <w:fldChar w:fldCharType="begin"/>
            </w:r>
            <w:r>
              <w:rPr>
                <w:noProof/>
                <w:webHidden/>
              </w:rPr>
              <w:instrText xml:space="preserve"> PAGEREF _Toc26150078 \h </w:instrText>
            </w:r>
            <w:r>
              <w:rPr>
                <w:noProof/>
                <w:webHidden/>
              </w:rPr>
            </w:r>
            <w:r>
              <w:rPr>
                <w:noProof/>
                <w:webHidden/>
              </w:rPr>
              <w:fldChar w:fldCharType="separate"/>
            </w:r>
            <w:r>
              <w:rPr>
                <w:noProof/>
                <w:webHidden/>
              </w:rPr>
              <w:t>5</w:t>
            </w:r>
            <w:r>
              <w:rPr>
                <w:noProof/>
                <w:webHidden/>
              </w:rPr>
              <w:fldChar w:fldCharType="end"/>
            </w:r>
          </w:hyperlink>
        </w:p>
        <w:p w:rsidR="00611C19" w:rsidRDefault="00611C19">
          <w:pPr>
            <w:pStyle w:val="TOC2"/>
            <w:tabs>
              <w:tab w:val="right" w:leader="dot" w:pos="9350"/>
            </w:tabs>
            <w:rPr>
              <w:rFonts w:asciiTheme="minorHAnsi" w:eastAsiaTheme="minorEastAsia" w:hAnsiTheme="minorHAnsi" w:cstheme="minorBidi"/>
              <w:noProof/>
              <w:sz w:val="22"/>
              <w:szCs w:val="22"/>
            </w:rPr>
          </w:pPr>
          <w:hyperlink w:anchor="_Toc26150079" w:history="1">
            <w:r w:rsidRPr="002172D5">
              <w:rPr>
                <w:rStyle w:val="Hyperlink"/>
                <w:rFonts w:eastAsiaTheme="majorEastAsia"/>
                <w:noProof/>
              </w:rPr>
              <w:t>2.0. Company or Product Background</w:t>
            </w:r>
            <w:r>
              <w:rPr>
                <w:noProof/>
                <w:webHidden/>
              </w:rPr>
              <w:tab/>
            </w:r>
            <w:r>
              <w:rPr>
                <w:noProof/>
                <w:webHidden/>
              </w:rPr>
              <w:fldChar w:fldCharType="begin"/>
            </w:r>
            <w:r>
              <w:rPr>
                <w:noProof/>
                <w:webHidden/>
              </w:rPr>
              <w:instrText xml:space="preserve"> PAGEREF _Toc26150079 \h </w:instrText>
            </w:r>
            <w:r>
              <w:rPr>
                <w:noProof/>
                <w:webHidden/>
              </w:rPr>
            </w:r>
            <w:r>
              <w:rPr>
                <w:noProof/>
                <w:webHidden/>
              </w:rPr>
              <w:fldChar w:fldCharType="separate"/>
            </w:r>
            <w:r>
              <w:rPr>
                <w:noProof/>
                <w:webHidden/>
              </w:rPr>
              <w:t>5</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80" w:history="1">
            <w:r w:rsidRPr="002172D5">
              <w:rPr>
                <w:rStyle w:val="Hyperlink"/>
                <w:rFonts w:eastAsiaTheme="majorEastAsia"/>
                <w:noProof/>
              </w:rPr>
              <w:t>2.1. Name of the company and address</w:t>
            </w:r>
            <w:r>
              <w:rPr>
                <w:noProof/>
                <w:webHidden/>
              </w:rPr>
              <w:tab/>
            </w:r>
            <w:r>
              <w:rPr>
                <w:noProof/>
                <w:webHidden/>
              </w:rPr>
              <w:fldChar w:fldCharType="begin"/>
            </w:r>
            <w:r>
              <w:rPr>
                <w:noProof/>
                <w:webHidden/>
              </w:rPr>
              <w:instrText xml:space="preserve"> PAGEREF _Toc26150080 \h </w:instrText>
            </w:r>
            <w:r>
              <w:rPr>
                <w:noProof/>
                <w:webHidden/>
              </w:rPr>
            </w:r>
            <w:r>
              <w:rPr>
                <w:noProof/>
                <w:webHidden/>
              </w:rPr>
              <w:fldChar w:fldCharType="separate"/>
            </w:r>
            <w:r>
              <w:rPr>
                <w:noProof/>
                <w:webHidden/>
              </w:rPr>
              <w:t>5</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81" w:history="1">
            <w:r w:rsidRPr="002172D5">
              <w:rPr>
                <w:rStyle w:val="Hyperlink"/>
                <w:rFonts w:eastAsiaTheme="majorEastAsia"/>
                <w:noProof/>
              </w:rPr>
              <w:t>2.2. Type of industry (with SIC code)</w:t>
            </w:r>
            <w:r>
              <w:rPr>
                <w:noProof/>
                <w:webHidden/>
              </w:rPr>
              <w:tab/>
            </w:r>
            <w:r>
              <w:rPr>
                <w:noProof/>
                <w:webHidden/>
              </w:rPr>
              <w:fldChar w:fldCharType="begin"/>
            </w:r>
            <w:r>
              <w:rPr>
                <w:noProof/>
                <w:webHidden/>
              </w:rPr>
              <w:instrText xml:space="preserve"> PAGEREF _Toc26150081 \h </w:instrText>
            </w:r>
            <w:r>
              <w:rPr>
                <w:noProof/>
                <w:webHidden/>
              </w:rPr>
            </w:r>
            <w:r>
              <w:rPr>
                <w:noProof/>
                <w:webHidden/>
              </w:rPr>
              <w:fldChar w:fldCharType="separate"/>
            </w:r>
            <w:r>
              <w:rPr>
                <w:noProof/>
                <w:webHidden/>
              </w:rPr>
              <w:t>6</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82" w:history="1">
            <w:r w:rsidRPr="002172D5">
              <w:rPr>
                <w:rStyle w:val="Hyperlink"/>
                <w:rFonts w:eastAsiaTheme="majorEastAsia"/>
                <w:noProof/>
              </w:rPr>
              <w:t>2.3. History of the company</w:t>
            </w:r>
            <w:r>
              <w:rPr>
                <w:noProof/>
                <w:webHidden/>
              </w:rPr>
              <w:tab/>
            </w:r>
            <w:r>
              <w:rPr>
                <w:noProof/>
                <w:webHidden/>
              </w:rPr>
              <w:fldChar w:fldCharType="begin"/>
            </w:r>
            <w:r>
              <w:rPr>
                <w:noProof/>
                <w:webHidden/>
              </w:rPr>
              <w:instrText xml:space="preserve"> PAGEREF _Toc26150082 \h </w:instrText>
            </w:r>
            <w:r>
              <w:rPr>
                <w:noProof/>
                <w:webHidden/>
              </w:rPr>
            </w:r>
            <w:r>
              <w:rPr>
                <w:noProof/>
                <w:webHidden/>
              </w:rPr>
              <w:fldChar w:fldCharType="separate"/>
            </w:r>
            <w:r>
              <w:rPr>
                <w:noProof/>
                <w:webHidden/>
              </w:rPr>
              <w:t>6</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83" w:history="1">
            <w:r w:rsidRPr="002172D5">
              <w:rPr>
                <w:rStyle w:val="Hyperlink"/>
                <w:rFonts w:eastAsiaTheme="majorEastAsia"/>
                <w:noProof/>
              </w:rPr>
              <w:t>2.4. Reason for Expanding to Overseas Markets</w:t>
            </w:r>
            <w:r>
              <w:rPr>
                <w:noProof/>
                <w:webHidden/>
              </w:rPr>
              <w:tab/>
            </w:r>
            <w:r>
              <w:rPr>
                <w:noProof/>
                <w:webHidden/>
              </w:rPr>
              <w:fldChar w:fldCharType="begin"/>
            </w:r>
            <w:r>
              <w:rPr>
                <w:noProof/>
                <w:webHidden/>
              </w:rPr>
              <w:instrText xml:space="preserve"> PAGEREF _Toc26150083 \h </w:instrText>
            </w:r>
            <w:r>
              <w:rPr>
                <w:noProof/>
                <w:webHidden/>
              </w:rPr>
            </w:r>
            <w:r>
              <w:rPr>
                <w:noProof/>
                <w:webHidden/>
              </w:rPr>
              <w:fldChar w:fldCharType="separate"/>
            </w:r>
            <w:r>
              <w:rPr>
                <w:noProof/>
                <w:webHidden/>
              </w:rPr>
              <w:t>8</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84" w:history="1">
            <w:r w:rsidRPr="002172D5">
              <w:rPr>
                <w:rStyle w:val="Hyperlink"/>
                <w:rFonts w:eastAsiaTheme="majorEastAsia"/>
                <w:noProof/>
              </w:rPr>
              <w:t>2.5. Description of the Product</w:t>
            </w:r>
            <w:r>
              <w:rPr>
                <w:noProof/>
                <w:webHidden/>
              </w:rPr>
              <w:tab/>
            </w:r>
            <w:r>
              <w:rPr>
                <w:noProof/>
                <w:webHidden/>
              </w:rPr>
              <w:fldChar w:fldCharType="begin"/>
            </w:r>
            <w:r>
              <w:rPr>
                <w:noProof/>
                <w:webHidden/>
              </w:rPr>
              <w:instrText xml:space="preserve"> PAGEREF _Toc26150084 \h </w:instrText>
            </w:r>
            <w:r>
              <w:rPr>
                <w:noProof/>
                <w:webHidden/>
              </w:rPr>
            </w:r>
            <w:r>
              <w:rPr>
                <w:noProof/>
                <w:webHidden/>
              </w:rPr>
              <w:fldChar w:fldCharType="separate"/>
            </w:r>
            <w:r>
              <w:rPr>
                <w:noProof/>
                <w:webHidden/>
              </w:rPr>
              <w:t>9</w:t>
            </w:r>
            <w:r>
              <w:rPr>
                <w:noProof/>
                <w:webHidden/>
              </w:rPr>
              <w:fldChar w:fldCharType="end"/>
            </w:r>
          </w:hyperlink>
        </w:p>
        <w:p w:rsidR="00611C19" w:rsidRDefault="00611C19">
          <w:pPr>
            <w:pStyle w:val="TOC2"/>
            <w:tabs>
              <w:tab w:val="right" w:leader="dot" w:pos="9350"/>
            </w:tabs>
            <w:rPr>
              <w:rFonts w:asciiTheme="minorHAnsi" w:eastAsiaTheme="minorEastAsia" w:hAnsiTheme="minorHAnsi" w:cstheme="minorBidi"/>
              <w:noProof/>
              <w:sz w:val="22"/>
              <w:szCs w:val="22"/>
            </w:rPr>
          </w:pPr>
          <w:hyperlink w:anchor="_Toc26150085" w:history="1">
            <w:r w:rsidRPr="002172D5">
              <w:rPr>
                <w:rStyle w:val="Hyperlink"/>
                <w:rFonts w:eastAsiaTheme="majorEastAsia"/>
                <w:noProof/>
              </w:rPr>
              <w:t>3.0. General Market Screening</w:t>
            </w:r>
            <w:r>
              <w:rPr>
                <w:noProof/>
                <w:webHidden/>
              </w:rPr>
              <w:tab/>
            </w:r>
            <w:r>
              <w:rPr>
                <w:noProof/>
                <w:webHidden/>
              </w:rPr>
              <w:fldChar w:fldCharType="begin"/>
            </w:r>
            <w:r>
              <w:rPr>
                <w:noProof/>
                <w:webHidden/>
              </w:rPr>
              <w:instrText xml:space="preserve"> PAGEREF _Toc26150085 \h </w:instrText>
            </w:r>
            <w:r>
              <w:rPr>
                <w:noProof/>
                <w:webHidden/>
              </w:rPr>
            </w:r>
            <w:r>
              <w:rPr>
                <w:noProof/>
                <w:webHidden/>
              </w:rPr>
              <w:fldChar w:fldCharType="separate"/>
            </w:r>
            <w:r>
              <w:rPr>
                <w:noProof/>
                <w:webHidden/>
              </w:rPr>
              <w:t>10</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86" w:history="1">
            <w:r w:rsidRPr="002172D5">
              <w:rPr>
                <w:rStyle w:val="Hyperlink"/>
                <w:rFonts w:eastAsiaTheme="majorEastAsia"/>
                <w:noProof/>
              </w:rPr>
              <w:t>3.1. Basic Needs Potential for the Product in Norway and Sweden</w:t>
            </w:r>
            <w:r>
              <w:rPr>
                <w:noProof/>
                <w:webHidden/>
              </w:rPr>
              <w:tab/>
            </w:r>
            <w:r>
              <w:rPr>
                <w:noProof/>
                <w:webHidden/>
              </w:rPr>
              <w:fldChar w:fldCharType="begin"/>
            </w:r>
            <w:r>
              <w:rPr>
                <w:noProof/>
                <w:webHidden/>
              </w:rPr>
              <w:instrText xml:space="preserve"> PAGEREF _Toc26150086 \h </w:instrText>
            </w:r>
            <w:r>
              <w:rPr>
                <w:noProof/>
                <w:webHidden/>
              </w:rPr>
            </w:r>
            <w:r>
              <w:rPr>
                <w:noProof/>
                <w:webHidden/>
              </w:rPr>
              <w:fldChar w:fldCharType="separate"/>
            </w:r>
            <w:r>
              <w:rPr>
                <w:noProof/>
                <w:webHidden/>
              </w:rPr>
              <w:t>10</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87" w:history="1">
            <w:r w:rsidRPr="002172D5">
              <w:rPr>
                <w:rStyle w:val="Hyperlink"/>
                <w:rFonts w:eastAsiaTheme="majorEastAsia"/>
                <w:noProof/>
              </w:rPr>
              <w:t>3.2. Climate Condition of the Target Countries</w:t>
            </w:r>
            <w:r>
              <w:rPr>
                <w:noProof/>
                <w:webHidden/>
              </w:rPr>
              <w:tab/>
            </w:r>
            <w:r>
              <w:rPr>
                <w:noProof/>
                <w:webHidden/>
              </w:rPr>
              <w:fldChar w:fldCharType="begin"/>
            </w:r>
            <w:r>
              <w:rPr>
                <w:noProof/>
                <w:webHidden/>
              </w:rPr>
              <w:instrText xml:space="preserve"> PAGEREF _Toc26150087 \h </w:instrText>
            </w:r>
            <w:r>
              <w:rPr>
                <w:noProof/>
                <w:webHidden/>
              </w:rPr>
            </w:r>
            <w:r>
              <w:rPr>
                <w:noProof/>
                <w:webHidden/>
              </w:rPr>
              <w:fldChar w:fldCharType="separate"/>
            </w:r>
            <w:r>
              <w:rPr>
                <w:noProof/>
                <w:webHidden/>
              </w:rPr>
              <w:t>11</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88" w:history="1">
            <w:r w:rsidRPr="002172D5">
              <w:rPr>
                <w:rStyle w:val="Hyperlink"/>
                <w:rFonts w:eastAsiaTheme="majorEastAsia"/>
                <w:noProof/>
              </w:rPr>
              <w:t>3.3. Topography of the Target Countries</w:t>
            </w:r>
            <w:r>
              <w:rPr>
                <w:noProof/>
                <w:webHidden/>
              </w:rPr>
              <w:tab/>
            </w:r>
            <w:r>
              <w:rPr>
                <w:noProof/>
                <w:webHidden/>
              </w:rPr>
              <w:fldChar w:fldCharType="begin"/>
            </w:r>
            <w:r>
              <w:rPr>
                <w:noProof/>
                <w:webHidden/>
              </w:rPr>
              <w:instrText xml:space="preserve"> PAGEREF _Toc26150088 \h </w:instrText>
            </w:r>
            <w:r>
              <w:rPr>
                <w:noProof/>
                <w:webHidden/>
              </w:rPr>
            </w:r>
            <w:r>
              <w:rPr>
                <w:noProof/>
                <w:webHidden/>
              </w:rPr>
              <w:fldChar w:fldCharType="separate"/>
            </w:r>
            <w:r>
              <w:rPr>
                <w:noProof/>
                <w:webHidden/>
              </w:rPr>
              <w:t>13</w:t>
            </w:r>
            <w:r>
              <w:rPr>
                <w:noProof/>
                <w:webHidden/>
              </w:rPr>
              <w:fldChar w:fldCharType="end"/>
            </w:r>
          </w:hyperlink>
        </w:p>
        <w:p w:rsidR="00611C19" w:rsidRDefault="00611C19">
          <w:pPr>
            <w:pStyle w:val="TOC2"/>
            <w:tabs>
              <w:tab w:val="right" w:leader="dot" w:pos="9350"/>
            </w:tabs>
            <w:rPr>
              <w:rFonts w:asciiTheme="minorHAnsi" w:eastAsiaTheme="minorEastAsia" w:hAnsiTheme="minorHAnsi" w:cstheme="minorBidi"/>
              <w:noProof/>
              <w:sz w:val="22"/>
              <w:szCs w:val="22"/>
            </w:rPr>
          </w:pPr>
          <w:hyperlink w:anchor="_Toc26150089" w:history="1">
            <w:r w:rsidRPr="002172D5">
              <w:rPr>
                <w:rStyle w:val="Hyperlink"/>
                <w:rFonts w:eastAsiaTheme="majorEastAsia"/>
                <w:noProof/>
              </w:rPr>
              <w:t>4.0. Financial and Economic Screening</w:t>
            </w:r>
            <w:r>
              <w:rPr>
                <w:noProof/>
                <w:webHidden/>
              </w:rPr>
              <w:tab/>
            </w:r>
            <w:r>
              <w:rPr>
                <w:noProof/>
                <w:webHidden/>
              </w:rPr>
              <w:fldChar w:fldCharType="begin"/>
            </w:r>
            <w:r>
              <w:rPr>
                <w:noProof/>
                <w:webHidden/>
              </w:rPr>
              <w:instrText xml:space="preserve"> PAGEREF _Toc26150089 \h </w:instrText>
            </w:r>
            <w:r>
              <w:rPr>
                <w:noProof/>
                <w:webHidden/>
              </w:rPr>
            </w:r>
            <w:r>
              <w:rPr>
                <w:noProof/>
                <w:webHidden/>
              </w:rPr>
              <w:fldChar w:fldCharType="separate"/>
            </w:r>
            <w:r>
              <w:rPr>
                <w:noProof/>
                <w:webHidden/>
              </w:rPr>
              <w:t>13</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90" w:history="1">
            <w:r w:rsidRPr="002172D5">
              <w:rPr>
                <w:rStyle w:val="Hyperlink"/>
                <w:rFonts w:eastAsiaTheme="majorEastAsia"/>
                <w:noProof/>
              </w:rPr>
              <w:t>4.1. Brief Summary of Economic Indicators for the Target Countries</w:t>
            </w:r>
            <w:r>
              <w:rPr>
                <w:noProof/>
                <w:webHidden/>
              </w:rPr>
              <w:tab/>
            </w:r>
            <w:r>
              <w:rPr>
                <w:noProof/>
                <w:webHidden/>
              </w:rPr>
              <w:fldChar w:fldCharType="begin"/>
            </w:r>
            <w:r>
              <w:rPr>
                <w:noProof/>
                <w:webHidden/>
              </w:rPr>
              <w:instrText xml:space="preserve"> PAGEREF _Toc26150090 \h </w:instrText>
            </w:r>
            <w:r>
              <w:rPr>
                <w:noProof/>
                <w:webHidden/>
              </w:rPr>
            </w:r>
            <w:r>
              <w:rPr>
                <w:noProof/>
                <w:webHidden/>
              </w:rPr>
              <w:fldChar w:fldCharType="separate"/>
            </w:r>
            <w:r>
              <w:rPr>
                <w:noProof/>
                <w:webHidden/>
              </w:rPr>
              <w:t>13</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91" w:history="1">
            <w:r w:rsidRPr="002172D5">
              <w:rPr>
                <w:rStyle w:val="Hyperlink"/>
                <w:rFonts w:eastAsiaTheme="majorEastAsia"/>
                <w:noProof/>
              </w:rPr>
              <w:t>4.2. Brief Summary of Financial Conditions</w:t>
            </w:r>
            <w:r>
              <w:rPr>
                <w:noProof/>
                <w:webHidden/>
              </w:rPr>
              <w:tab/>
            </w:r>
            <w:r>
              <w:rPr>
                <w:noProof/>
                <w:webHidden/>
              </w:rPr>
              <w:fldChar w:fldCharType="begin"/>
            </w:r>
            <w:r>
              <w:rPr>
                <w:noProof/>
                <w:webHidden/>
              </w:rPr>
              <w:instrText xml:space="preserve"> PAGEREF _Toc26150091 \h </w:instrText>
            </w:r>
            <w:r>
              <w:rPr>
                <w:noProof/>
                <w:webHidden/>
              </w:rPr>
            </w:r>
            <w:r>
              <w:rPr>
                <w:noProof/>
                <w:webHidden/>
              </w:rPr>
              <w:fldChar w:fldCharType="separate"/>
            </w:r>
            <w:r>
              <w:rPr>
                <w:noProof/>
                <w:webHidden/>
              </w:rPr>
              <w:t>18</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92" w:history="1">
            <w:r w:rsidRPr="002172D5">
              <w:rPr>
                <w:rStyle w:val="Hyperlink"/>
                <w:rFonts w:eastAsiaTheme="majorEastAsia"/>
                <w:noProof/>
              </w:rPr>
              <w:t>4.3. Economic Data that correlates with the Market Demand for a Product</w:t>
            </w:r>
            <w:r>
              <w:rPr>
                <w:noProof/>
                <w:webHidden/>
              </w:rPr>
              <w:tab/>
            </w:r>
            <w:r>
              <w:rPr>
                <w:noProof/>
                <w:webHidden/>
              </w:rPr>
              <w:fldChar w:fldCharType="begin"/>
            </w:r>
            <w:r>
              <w:rPr>
                <w:noProof/>
                <w:webHidden/>
              </w:rPr>
              <w:instrText xml:space="preserve"> PAGEREF _Toc26150092 \h </w:instrText>
            </w:r>
            <w:r>
              <w:rPr>
                <w:noProof/>
                <w:webHidden/>
              </w:rPr>
            </w:r>
            <w:r>
              <w:rPr>
                <w:noProof/>
                <w:webHidden/>
              </w:rPr>
              <w:fldChar w:fldCharType="separate"/>
            </w:r>
            <w:r>
              <w:rPr>
                <w:noProof/>
                <w:webHidden/>
              </w:rPr>
              <w:t>21</w:t>
            </w:r>
            <w:r>
              <w:rPr>
                <w:noProof/>
                <w:webHidden/>
              </w:rPr>
              <w:fldChar w:fldCharType="end"/>
            </w:r>
          </w:hyperlink>
        </w:p>
        <w:p w:rsidR="00611C19" w:rsidRDefault="00611C19">
          <w:pPr>
            <w:pStyle w:val="TOC2"/>
            <w:tabs>
              <w:tab w:val="right" w:leader="dot" w:pos="9350"/>
            </w:tabs>
            <w:rPr>
              <w:rFonts w:asciiTheme="minorHAnsi" w:eastAsiaTheme="minorEastAsia" w:hAnsiTheme="minorHAnsi" w:cstheme="minorBidi"/>
              <w:noProof/>
              <w:sz w:val="22"/>
              <w:szCs w:val="22"/>
            </w:rPr>
          </w:pPr>
          <w:hyperlink w:anchor="_Toc26150093" w:history="1">
            <w:r w:rsidRPr="002172D5">
              <w:rPr>
                <w:rStyle w:val="Hyperlink"/>
                <w:rFonts w:eastAsiaTheme="majorEastAsia"/>
                <w:noProof/>
              </w:rPr>
              <w:t>5.0. Political and Legal Screening</w:t>
            </w:r>
            <w:r>
              <w:rPr>
                <w:noProof/>
                <w:webHidden/>
              </w:rPr>
              <w:tab/>
            </w:r>
            <w:r>
              <w:rPr>
                <w:noProof/>
                <w:webHidden/>
              </w:rPr>
              <w:fldChar w:fldCharType="begin"/>
            </w:r>
            <w:r>
              <w:rPr>
                <w:noProof/>
                <w:webHidden/>
              </w:rPr>
              <w:instrText xml:space="preserve"> PAGEREF _Toc26150093 \h </w:instrText>
            </w:r>
            <w:r>
              <w:rPr>
                <w:noProof/>
                <w:webHidden/>
              </w:rPr>
            </w:r>
            <w:r>
              <w:rPr>
                <w:noProof/>
                <w:webHidden/>
              </w:rPr>
              <w:fldChar w:fldCharType="separate"/>
            </w:r>
            <w:r>
              <w:rPr>
                <w:noProof/>
                <w:webHidden/>
              </w:rPr>
              <w:t>23</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94" w:history="1">
            <w:r w:rsidRPr="002172D5">
              <w:rPr>
                <w:rStyle w:val="Hyperlink"/>
                <w:rFonts w:eastAsiaTheme="majorEastAsia"/>
                <w:noProof/>
              </w:rPr>
              <w:t>5.1. Type of Government</w:t>
            </w:r>
            <w:r>
              <w:rPr>
                <w:noProof/>
                <w:webHidden/>
              </w:rPr>
              <w:tab/>
            </w:r>
            <w:r>
              <w:rPr>
                <w:noProof/>
                <w:webHidden/>
              </w:rPr>
              <w:fldChar w:fldCharType="begin"/>
            </w:r>
            <w:r>
              <w:rPr>
                <w:noProof/>
                <w:webHidden/>
              </w:rPr>
              <w:instrText xml:space="preserve"> PAGEREF _Toc26150094 \h </w:instrText>
            </w:r>
            <w:r>
              <w:rPr>
                <w:noProof/>
                <w:webHidden/>
              </w:rPr>
            </w:r>
            <w:r>
              <w:rPr>
                <w:noProof/>
                <w:webHidden/>
              </w:rPr>
              <w:fldChar w:fldCharType="separate"/>
            </w:r>
            <w:r>
              <w:rPr>
                <w:noProof/>
                <w:webHidden/>
              </w:rPr>
              <w:t>23</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95" w:history="1">
            <w:r w:rsidRPr="002172D5">
              <w:rPr>
                <w:rStyle w:val="Hyperlink"/>
                <w:rFonts w:eastAsiaTheme="majorEastAsia"/>
                <w:noProof/>
              </w:rPr>
              <w:t>5.2. Entry Barriers:</w:t>
            </w:r>
            <w:r>
              <w:rPr>
                <w:noProof/>
                <w:webHidden/>
              </w:rPr>
              <w:tab/>
            </w:r>
            <w:r>
              <w:rPr>
                <w:noProof/>
                <w:webHidden/>
              </w:rPr>
              <w:fldChar w:fldCharType="begin"/>
            </w:r>
            <w:r>
              <w:rPr>
                <w:noProof/>
                <w:webHidden/>
              </w:rPr>
              <w:instrText xml:space="preserve"> PAGEREF _Toc26150095 \h </w:instrText>
            </w:r>
            <w:r>
              <w:rPr>
                <w:noProof/>
                <w:webHidden/>
              </w:rPr>
            </w:r>
            <w:r>
              <w:rPr>
                <w:noProof/>
                <w:webHidden/>
              </w:rPr>
              <w:fldChar w:fldCharType="separate"/>
            </w:r>
            <w:r>
              <w:rPr>
                <w:noProof/>
                <w:webHidden/>
              </w:rPr>
              <w:t>23</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96" w:history="1">
            <w:r w:rsidRPr="002172D5">
              <w:rPr>
                <w:rStyle w:val="Hyperlink"/>
                <w:rFonts w:eastAsiaTheme="majorEastAsia"/>
                <w:noProof/>
              </w:rPr>
              <w:t>5.3. Profit Transfer Barriers</w:t>
            </w:r>
            <w:r>
              <w:rPr>
                <w:noProof/>
                <w:webHidden/>
              </w:rPr>
              <w:tab/>
            </w:r>
            <w:r>
              <w:rPr>
                <w:noProof/>
                <w:webHidden/>
              </w:rPr>
              <w:fldChar w:fldCharType="begin"/>
            </w:r>
            <w:r>
              <w:rPr>
                <w:noProof/>
                <w:webHidden/>
              </w:rPr>
              <w:instrText xml:space="preserve"> PAGEREF _Toc26150096 \h </w:instrText>
            </w:r>
            <w:r>
              <w:rPr>
                <w:noProof/>
                <w:webHidden/>
              </w:rPr>
            </w:r>
            <w:r>
              <w:rPr>
                <w:noProof/>
                <w:webHidden/>
              </w:rPr>
              <w:fldChar w:fldCharType="separate"/>
            </w:r>
            <w:r>
              <w:rPr>
                <w:noProof/>
                <w:webHidden/>
              </w:rPr>
              <w:t>24</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97" w:history="1">
            <w:r w:rsidRPr="002172D5">
              <w:rPr>
                <w:rStyle w:val="Hyperlink"/>
                <w:rFonts w:eastAsiaTheme="majorEastAsia"/>
                <w:noProof/>
              </w:rPr>
              <w:t>5.4. Political risk:</w:t>
            </w:r>
            <w:r>
              <w:rPr>
                <w:noProof/>
                <w:webHidden/>
              </w:rPr>
              <w:tab/>
            </w:r>
            <w:r>
              <w:rPr>
                <w:noProof/>
                <w:webHidden/>
              </w:rPr>
              <w:fldChar w:fldCharType="begin"/>
            </w:r>
            <w:r>
              <w:rPr>
                <w:noProof/>
                <w:webHidden/>
              </w:rPr>
              <w:instrText xml:space="preserve"> PAGEREF _Toc26150097 \h </w:instrText>
            </w:r>
            <w:r>
              <w:rPr>
                <w:noProof/>
                <w:webHidden/>
              </w:rPr>
            </w:r>
            <w:r>
              <w:rPr>
                <w:noProof/>
                <w:webHidden/>
              </w:rPr>
              <w:fldChar w:fldCharType="separate"/>
            </w:r>
            <w:r>
              <w:rPr>
                <w:noProof/>
                <w:webHidden/>
              </w:rPr>
              <w:t>25</w:t>
            </w:r>
            <w:r>
              <w:rPr>
                <w:noProof/>
                <w:webHidden/>
              </w:rPr>
              <w:fldChar w:fldCharType="end"/>
            </w:r>
          </w:hyperlink>
        </w:p>
        <w:p w:rsidR="00611C19" w:rsidRDefault="00611C19">
          <w:pPr>
            <w:pStyle w:val="TOC2"/>
            <w:tabs>
              <w:tab w:val="right" w:leader="dot" w:pos="9350"/>
            </w:tabs>
            <w:rPr>
              <w:rFonts w:asciiTheme="minorHAnsi" w:eastAsiaTheme="minorEastAsia" w:hAnsiTheme="minorHAnsi" w:cstheme="minorBidi"/>
              <w:noProof/>
              <w:sz w:val="22"/>
              <w:szCs w:val="22"/>
            </w:rPr>
          </w:pPr>
          <w:hyperlink w:anchor="_Toc26150098" w:history="1">
            <w:r w:rsidRPr="002172D5">
              <w:rPr>
                <w:rStyle w:val="Hyperlink"/>
                <w:rFonts w:eastAsiaTheme="majorEastAsia"/>
                <w:noProof/>
              </w:rPr>
              <w:t>6.0. Socio-cultural Screening</w:t>
            </w:r>
            <w:r>
              <w:rPr>
                <w:noProof/>
                <w:webHidden/>
              </w:rPr>
              <w:tab/>
            </w:r>
            <w:r>
              <w:rPr>
                <w:noProof/>
                <w:webHidden/>
              </w:rPr>
              <w:fldChar w:fldCharType="begin"/>
            </w:r>
            <w:r>
              <w:rPr>
                <w:noProof/>
                <w:webHidden/>
              </w:rPr>
              <w:instrText xml:space="preserve"> PAGEREF _Toc26150098 \h </w:instrText>
            </w:r>
            <w:r>
              <w:rPr>
                <w:noProof/>
                <w:webHidden/>
              </w:rPr>
            </w:r>
            <w:r>
              <w:rPr>
                <w:noProof/>
                <w:webHidden/>
              </w:rPr>
              <w:fldChar w:fldCharType="separate"/>
            </w:r>
            <w:r>
              <w:rPr>
                <w:noProof/>
                <w:webHidden/>
              </w:rPr>
              <w:t>25</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099" w:history="1">
            <w:r w:rsidRPr="002172D5">
              <w:rPr>
                <w:rStyle w:val="Hyperlink"/>
                <w:rFonts w:eastAsiaTheme="majorEastAsia"/>
                <w:noProof/>
              </w:rPr>
              <w:t>6.1. Demographic data</w:t>
            </w:r>
            <w:r>
              <w:rPr>
                <w:noProof/>
                <w:webHidden/>
              </w:rPr>
              <w:tab/>
            </w:r>
            <w:r>
              <w:rPr>
                <w:noProof/>
                <w:webHidden/>
              </w:rPr>
              <w:fldChar w:fldCharType="begin"/>
            </w:r>
            <w:r>
              <w:rPr>
                <w:noProof/>
                <w:webHidden/>
              </w:rPr>
              <w:instrText xml:space="preserve"> PAGEREF _Toc26150099 \h </w:instrText>
            </w:r>
            <w:r>
              <w:rPr>
                <w:noProof/>
                <w:webHidden/>
              </w:rPr>
            </w:r>
            <w:r>
              <w:rPr>
                <w:noProof/>
                <w:webHidden/>
              </w:rPr>
              <w:fldChar w:fldCharType="separate"/>
            </w:r>
            <w:r>
              <w:rPr>
                <w:noProof/>
                <w:webHidden/>
              </w:rPr>
              <w:t>25</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00" w:history="1">
            <w:r w:rsidRPr="002172D5">
              <w:rPr>
                <w:rStyle w:val="Hyperlink"/>
                <w:rFonts w:eastAsiaTheme="majorEastAsia"/>
                <w:noProof/>
              </w:rPr>
              <w:t>6.2. Social structure</w:t>
            </w:r>
            <w:r>
              <w:rPr>
                <w:noProof/>
                <w:webHidden/>
              </w:rPr>
              <w:tab/>
            </w:r>
            <w:r>
              <w:rPr>
                <w:noProof/>
                <w:webHidden/>
              </w:rPr>
              <w:fldChar w:fldCharType="begin"/>
            </w:r>
            <w:r>
              <w:rPr>
                <w:noProof/>
                <w:webHidden/>
              </w:rPr>
              <w:instrText xml:space="preserve"> PAGEREF _Toc26150100 \h </w:instrText>
            </w:r>
            <w:r>
              <w:rPr>
                <w:noProof/>
                <w:webHidden/>
              </w:rPr>
            </w:r>
            <w:r>
              <w:rPr>
                <w:noProof/>
                <w:webHidden/>
              </w:rPr>
              <w:fldChar w:fldCharType="separate"/>
            </w:r>
            <w:r>
              <w:rPr>
                <w:noProof/>
                <w:webHidden/>
              </w:rPr>
              <w:t>26</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01" w:history="1">
            <w:r w:rsidRPr="002172D5">
              <w:rPr>
                <w:rStyle w:val="Hyperlink"/>
                <w:rFonts w:eastAsiaTheme="majorEastAsia"/>
                <w:noProof/>
              </w:rPr>
              <w:t>6.3. Religion</w:t>
            </w:r>
            <w:r>
              <w:rPr>
                <w:noProof/>
                <w:webHidden/>
              </w:rPr>
              <w:tab/>
            </w:r>
            <w:r>
              <w:rPr>
                <w:noProof/>
                <w:webHidden/>
              </w:rPr>
              <w:fldChar w:fldCharType="begin"/>
            </w:r>
            <w:r>
              <w:rPr>
                <w:noProof/>
                <w:webHidden/>
              </w:rPr>
              <w:instrText xml:space="preserve"> PAGEREF _Toc26150101 \h </w:instrText>
            </w:r>
            <w:r>
              <w:rPr>
                <w:noProof/>
                <w:webHidden/>
              </w:rPr>
            </w:r>
            <w:r>
              <w:rPr>
                <w:noProof/>
                <w:webHidden/>
              </w:rPr>
              <w:fldChar w:fldCharType="separate"/>
            </w:r>
            <w:r>
              <w:rPr>
                <w:noProof/>
                <w:webHidden/>
              </w:rPr>
              <w:t>27</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02" w:history="1">
            <w:r w:rsidRPr="002172D5">
              <w:rPr>
                <w:rStyle w:val="Hyperlink"/>
                <w:rFonts w:eastAsiaTheme="majorEastAsia"/>
                <w:noProof/>
              </w:rPr>
              <w:t>6.4. Education</w:t>
            </w:r>
            <w:r>
              <w:rPr>
                <w:noProof/>
                <w:webHidden/>
              </w:rPr>
              <w:tab/>
            </w:r>
            <w:r>
              <w:rPr>
                <w:noProof/>
                <w:webHidden/>
              </w:rPr>
              <w:fldChar w:fldCharType="begin"/>
            </w:r>
            <w:r>
              <w:rPr>
                <w:noProof/>
                <w:webHidden/>
              </w:rPr>
              <w:instrText xml:space="preserve"> PAGEREF _Toc26150102 \h </w:instrText>
            </w:r>
            <w:r>
              <w:rPr>
                <w:noProof/>
                <w:webHidden/>
              </w:rPr>
            </w:r>
            <w:r>
              <w:rPr>
                <w:noProof/>
                <w:webHidden/>
              </w:rPr>
              <w:fldChar w:fldCharType="separate"/>
            </w:r>
            <w:r>
              <w:rPr>
                <w:noProof/>
                <w:webHidden/>
              </w:rPr>
              <w:t>27</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03" w:history="1">
            <w:r w:rsidRPr="002172D5">
              <w:rPr>
                <w:rStyle w:val="Hyperlink"/>
                <w:rFonts w:eastAsiaTheme="majorEastAsia"/>
                <w:noProof/>
              </w:rPr>
              <w:t>6.5. Language</w:t>
            </w:r>
            <w:r>
              <w:rPr>
                <w:noProof/>
                <w:webHidden/>
              </w:rPr>
              <w:tab/>
            </w:r>
            <w:r>
              <w:rPr>
                <w:noProof/>
                <w:webHidden/>
              </w:rPr>
              <w:fldChar w:fldCharType="begin"/>
            </w:r>
            <w:r>
              <w:rPr>
                <w:noProof/>
                <w:webHidden/>
              </w:rPr>
              <w:instrText xml:space="preserve"> PAGEREF _Toc26150103 \h </w:instrText>
            </w:r>
            <w:r>
              <w:rPr>
                <w:noProof/>
                <w:webHidden/>
              </w:rPr>
            </w:r>
            <w:r>
              <w:rPr>
                <w:noProof/>
                <w:webHidden/>
              </w:rPr>
              <w:fldChar w:fldCharType="separate"/>
            </w:r>
            <w:r>
              <w:rPr>
                <w:noProof/>
                <w:webHidden/>
              </w:rPr>
              <w:t>28</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04" w:history="1">
            <w:r w:rsidRPr="002172D5">
              <w:rPr>
                <w:rStyle w:val="Hyperlink"/>
                <w:rFonts w:eastAsiaTheme="majorEastAsia"/>
                <w:noProof/>
              </w:rPr>
              <w:t>6.6. Explain the relevance of the data to your product-market</w:t>
            </w:r>
            <w:r>
              <w:rPr>
                <w:noProof/>
                <w:webHidden/>
              </w:rPr>
              <w:tab/>
            </w:r>
            <w:r>
              <w:rPr>
                <w:noProof/>
                <w:webHidden/>
              </w:rPr>
              <w:fldChar w:fldCharType="begin"/>
            </w:r>
            <w:r>
              <w:rPr>
                <w:noProof/>
                <w:webHidden/>
              </w:rPr>
              <w:instrText xml:space="preserve"> PAGEREF _Toc26150104 \h </w:instrText>
            </w:r>
            <w:r>
              <w:rPr>
                <w:noProof/>
                <w:webHidden/>
              </w:rPr>
            </w:r>
            <w:r>
              <w:rPr>
                <w:noProof/>
                <w:webHidden/>
              </w:rPr>
              <w:fldChar w:fldCharType="separate"/>
            </w:r>
            <w:r>
              <w:rPr>
                <w:noProof/>
                <w:webHidden/>
              </w:rPr>
              <w:t>28</w:t>
            </w:r>
            <w:r>
              <w:rPr>
                <w:noProof/>
                <w:webHidden/>
              </w:rPr>
              <w:fldChar w:fldCharType="end"/>
            </w:r>
          </w:hyperlink>
        </w:p>
        <w:p w:rsidR="00611C19" w:rsidRDefault="00611C19">
          <w:pPr>
            <w:pStyle w:val="TOC2"/>
            <w:tabs>
              <w:tab w:val="right" w:leader="dot" w:pos="9350"/>
            </w:tabs>
            <w:rPr>
              <w:rFonts w:asciiTheme="minorHAnsi" w:eastAsiaTheme="minorEastAsia" w:hAnsiTheme="minorHAnsi" w:cstheme="minorBidi"/>
              <w:noProof/>
              <w:sz w:val="22"/>
              <w:szCs w:val="22"/>
            </w:rPr>
          </w:pPr>
          <w:hyperlink w:anchor="_Toc26150105" w:history="1">
            <w:r w:rsidRPr="002172D5">
              <w:rPr>
                <w:rStyle w:val="Hyperlink"/>
                <w:rFonts w:eastAsiaTheme="majorEastAsia"/>
                <w:noProof/>
              </w:rPr>
              <w:t>7.0. Competitive Screening</w:t>
            </w:r>
            <w:r>
              <w:rPr>
                <w:noProof/>
                <w:webHidden/>
              </w:rPr>
              <w:tab/>
            </w:r>
            <w:r>
              <w:rPr>
                <w:noProof/>
                <w:webHidden/>
              </w:rPr>
              <w:fldChar w:fldCharType="begin"/>
            </w:r>
            <w:r>
              <w:rPr>
                <w:noProof/>
                <w:webHidden/>
              </w:rPr>
              <w:instrText xml:space="preserve"> PAGEREF _Toc26150105 \h </w:instrText>
            </w:r>
            <w:r>
              <w:rPr>
                <w:noProof/>
                <w:webHidden/>
              </w:rPr>
            </w:r>
            <w:r>
              <w:rPr>
                <w:noProof/>
                <w:webHidden/>
              </w:rPr>
              <w:fldChar w:fldCharType="separate"/>
            </w:r>
            <w:r>
              <w:rPr>
                <w:noProof/>
                <w:webHidden/>
              </w:rPr>
              <w:t>28</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06" w:history="1">
            <w:r w:rsidRPr="002172D5">
              <w:rPr>
                <w:rStyle w:val="Hyperlink"/>
                <w:rFonts w:eastAsiaTheme="majorEastAsia"/>
                <w:noProof/>
              </w:rPr>
              <w:t>7.1. Number, Size and Financial Strength of Competition</w:t>
            </w:r>
            <w:r>
              <w:rPr>
                <w:noProof/>
                <w:webHidden/>
              </w:rPr>
              <w:tab/>
            </w:r>
            <w:r>
              <w:rPr>
                <w:noProof/>
                <w:webHidden/>
              </w:rPr>
              <w:fldChar w:fldCharType="begin"/>
            </w:r>
            <w:r>
              <w:rPr>
                <w:noProof/>
                <w:webHidden/>
              </w:rPr>
              <w:instrText xml:space="preserve"> PAGEREF _Toc26150106 \h </w:instrText>
            </w:r>
            <w:r>
              <w:rPr>
                <w:noProof/>
                <w:webHidden/>
              </w:rPr>
            </w:r>
            <w:r>
              <w:rPr>
                <w:noProof/>
                <w:webHidden/>
              </w:rPr>
              <w:fldChar w:fldCharType="separate"/>
            </w:r>
            <w:r>
              <w:rPr>
                <w:noProof/>
                <w:webHidden/>
              </w:rPr>
              <w:t>29</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07" w:history="1">
            <w:r w:rsidRPr="002172D5">
              <w:rPr>
                <w:rStyle w:val="Hyperlink"/>
                <w:rFonts w:eastAsiaTheme="majorEastAsia"/>
                <w:noProof/>
              </w:rPr>
              <w:t>7.2. Market Share Distribution</w:t>
            </w:r>
            <w:r>
              <w:rPr>
                <w:noProof/>
                <w:webHidden/>
              </w:rPr>
              <w:tab/>
            </w:r>
            <w:r>
              <w:rPr>
                <w:noProof/>
                <w:webHidden/>
              </w:rPr>
              <w:fldChar w:fldCharType="begin"/>
            </w:r>
            <w:r>
              <w:rPr>
                <w:noProof/>
                <w:webHidden/>
              </w:rPr>
              <w:instrText xml:space="preserve"> PAGEREF _Toc26150107 \h </w:instrText>
            </w:r>
            <w:r>
              <w:rPr>
                <w:noProof/>
                <w:webHidden/>
              </w:rPr>
            </w:r>
            <w:r>
              <w:rPr>
                <w:noProof/>
                <w:webHidden/>
              </w:rPr>
              <w:fldChar w:fldCharType="separate"/>
            </w:r>
            <w:r>
              <w:rPr>
                <w:noProof/>
                <w:webHidden/>
              </w:rPr>
              <w:t>29</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08" w:history="1">
            <w:r w:rsidRPr="002172D5">
              <w:rPr>
                <w:rStyle w:val="Hyperlink"/>
                <w:rFonts w:eastAsiaTheme="majorEastAsia"/>
                <w:noProof/>
              </w:rPr>
              <w:t>7.3. Entry Strategy being used by Competitors</w:t>
            </w:r>
            <w:r>
              <w:rPr>
                <w:noProof/>
                <w:webHidden/>
              </w:rPr>
              <w:tab/>
            </w:r>
            <w:r>
              <w:rPr>
                <w:noProof/>
                <w:webHidden/>
              </w:rPr>
              <w:fldChar w:fldCharType="begin"/>
            </w:r>
            <w:r>
              <w:rPr>
                <w:noProof/>
                <w:webHidden/>
              </w:rPr>
              <w:instrText xml:space="preserve"> PAGEREF _Toc26150108 \h </w:instrText>
            </w:r>
            <w:r>
              <w:rPr>
                <w:noProof/>
                <w:webHidden/>
              </w:rPr>
            </w:r>
            <w:r>
              <w:rPr>
                <w:noProof/>
                <w:webHidden/>
              </w:rPr>
              <w:fldChar w:fldCharType="separate"/>
            </w:r>
            <w:r>
              <w:rPr>
                <w:noProof/>
                <w:webHidden/>
              </w:rPr>
              <w:t>30</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09" w:history="1">
            <w:r w:rsidRPr="002172D5">
              <w:rPr>
                <w:rStyle w:val="Hyperlink"/>
                <w:rFonts w:eastAsiaTheme="majorEastAsia"/>
                <w:noProof/>
              </w:rPr>
              <w:t>7.4. Source of Product</w:t>
            </w:r>
            <w:r>
              <w:rPr>
                <w:noProof/>
                <w:webHidden/>
              </w:rPr>
              <w:tab/>
            </w:r>
            <w:r>
              <w:rPr>
                <w:noProof/>
                <w:webHidden/>
              </w:rPr>
              <w:fldChar w:fldCharType="begin"/>
            </w:r>
            <w:r>
              <w:rPr>
                <w:noProof/>
                <w:webHidden/>
              </w:rPr>
              <w:instrText xml:space="preserve"> PAGEREF _Toc26150109 \h </w:instrText>
            </w:r>
            <w:r>
              <w:rPr>
                <w:noProof/>
                <w:webHidden/>
              </w:rPr>
            </w:r>
            <w:r>
              <w:rPr>
                <w:noProof/>
                <w:webHidden/>
              </w:rPr>
              <w:fldChar w:fldCharType="separate"/>
            </w:r>
            <w:r>
              <w:rPr>
                <w:noProof/>
                <w:webHidden/>
              </w:rPr>
              <w:t>30</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10" w:history="1">
            <w:r w:rsidRPr="002172D5">
              <w:rPr>
                <w:rStyle w:val="Hyperlink"/>
                <w:rFonts w:eastAsiaTheme="majorEastAsia"/>
                <w:noProof/>
              </w:rPr>
              <w:t>7.5. Quality of Products</w:t>
            </w:r>
            <w:r>
              <w:rPr>
                <w:noProof/>
                <w:webHidden/>
              </w:rPr>
              <w:tab/>
            </w:r>
            <w:r>
              <w:rPr>
                <w:noProof/>
                <w:webHidden/>
              </w:rPr>
              <w:fldChar w:fldCharType="begin"/>
            </w:r>
            <w:r>
              <w:rPr>
                <w:noProof/>
                <w:webHidden/>
              </w:rPr>
              <w:instrText xml:space="preserve"> PAGEREF _Toc26150110 \h </w:instrText>
            </w:r>
            <w:r>
              <w:rPr>
                <w:noProof/>
                <w:webHidden/>
              </w:rPr>
            </w:r>
            <w:r>
              <w:rPr>
                <w:noProof/>
                <w:webHidden/>
              </w:rPr>
              <w:fldChar w:fldCharType="separate"/>
            </w:r>
            <w:r>
              <w:rPr>
                <w:noProof/>
                <w:webHidden/>
              </w:rPr>
              <w:t>30</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11" w:history="1">
            <w:r w:rsidRPr="002172D5">
              <w:rPr>
                <w:rStyle w:val="Hyperlink"/>
                <w:rFonts w:eastAsiaTheme="majorEastAsia"/>
                <w:noProof/>
              </w:rPr>
              <w:t>7.6. Market Coverage</w:t>
            </w:r>
            <w:r>
              <w:rPr>
                <w:noProof/>
                <w:webHidden/>
              </w:rPr>
              <w:tab/>
            </w:r>
            <w:r>
              <w:rPr>
                <w:noProof/>
                <w:webHidden/>
              </w:rPr>
              <w:fldChar w:fldCharType="begin"/>
            </w:r>
            <w:r>
              <w:rPr>
                <w:noProof/>
                <w:webHidden/>
              </w:rPr>
              <w:instrText xml:space="preserve"> PAGEREF _Toc26150111 \h </w:instrText>
            </w:r>
            <w:r>
              <w:rPr>
                <w:noProof/>
                <w:webHidden/>
              </w:rPr>
            </w:r>
            <w:r>
              <w:rPr>
                <w:noProof/>
                <w:webHidden/>
              </w:rPr>
              <w:fldChar w:fldCharType="separate"/>
            </w:r>
            <w:r>
              <w:rPr>
                <w:noProof/>
                <w:webHidden/>
              </w:rPr>
              <w:t>31</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12" w:history="1">
            <w:r w:rsidRPr="002172D5">
              <w:rPr>
                <w:rStyle w:val="Hyperlink"/>
                <w:rFonts w:eastAsiaTheme="majorEastAsia"/>
                <w:noProof/>
              </w:rPr>
              <w:t>7.7. Pricing Policies</w:t>
            </w:r>
            <w:r>
              <w:rPr>
                <w:noProof/>
                <w:webHidden/>
              </w:rPr>
              <w:tab/>
            </w:r>
            <w:r>
              <w:rPr>
                <w:noProof/>
                <w:webHidden/>
              </w:rPr>
              <w:fldChar w:fldCharType="begin"/>
            </w:r>
            <w:r>
              <w:rPr>
                <w:noProof/>
                <w:webHidden/>
              </w:rPr>
              <w:instrText xml:space="preserve"> PAGEREF _Toc26150112 \h </w:instrText>
            </w:r>
            <w:r>
              <w:rPr>
                <w:noProof/>
                <w:webHidden/>
              </w:rPr>
            </w:r>
            <w:r>
              <w:rPr>
                <w:noProof/>
                <w:webHidden/>
              </w:rPr>
              <w:fldChar w:fldCharType="separate"/>
            </w:r>
            <w:r>
              <w:rPr>
                <w:noProof/>
                <w:webHidden/>
              </w:rPr>
              <w:t>31</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13" w:history="1">
            <w:r w:rsidRPr="002172D5">
              <w:rPr>
                <w:rStyle w:val="Hyperlink"/>
                <w:rFonts w:eastAsiaTheme="majorEastAsia"/>
                <w:noProof/>
              </w:rPr>
              <w:t>7.8. Distribution Channels</w:t>
            </w:r>
            <w:r>
              <w:rPr>
                <w:noProof/>
                <w:webHidden/>
              </w:rPr>
              <w:tab/>
            </w:r>
            <w:r>
              <w:rPr>
                <w:noProof/>
                <w:webHidden/>
              </w:rPr>
              <w:fldChar w:fldCharType="begin"/>
            </w:r>
            <w:r>
              <w:rPr>
                <w:noProof/>
                <w:webHidden/>
              </w:rPr>
              <w:instrText xml:space="preserve"> PAGEREF _Toc26150113 \h </w:instrText>
            </w:r>
            <w:r>
              <w:rPr>
                <w:noProof/>
                <w:webHidden/>
              </w:rPr>
            </w:r>
            <w:r>
              <w:rPr>
                <w:noProof/>
                <w:webHidden/>
              </w:rPr>
              <w:fldChar w:fldCharType="separate"/>
            </w:r>
            <w:r>
              <w:rPr>
                <w:noProof/>
                <w:webHidden/>
              </w:rPr>
              <w:t>31</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14" w:history="1">
            <w:r w:rsidRPr="002172D5">
              <w:rPr>
                <w:rStyle w:val="Hyperlink"/>
                <w:rFonts w:eastAsiaTheme="majorEastAsia"/>
                <w:noProof/>
              </w:rPr>
              <w:t>7.9. After Sales Services</w:t>
            </w:r>
            <w:r>
              <w:rPr>
                <w:noProof/>
                <w:webHidden/>
              </w:rPr>
              <w:tab/>
            </w:r>
            <w:r>
              <w:rPr>
                <w:noProof/>
                <w:webHidden/>
              </w:rPr>
              <w:fldChar w:fldCharType="begin"/>
            </w:r>
            <w:r>
              <w:rPr>
                <w:noProof/>
                <w:webHidden/>
              </w:rPr>
              <w:instrText xml:space="preserve"> PAGEREF _Toc26150114 \h </w:instrText>
            </w:r>
            <w:r>
              <w:rPr>
                <w:noProof/>
                <w:webHidden/>
              </w:rPr>
            </w:r>
            <w:r>
              <w:rPr>
                <w:noProof/>
                <w:webHidden/>
              </w:rPr>
              <w:fldChar w:fldCharType="separate"/>
            </w:r>
            <w:r>
              <w:rPr>
                <w:noProof/>
                <w:webHidden/>
              </w:rPr>
              <w:t>32</w:t>
            </w:r>
            <w:r>
              <w:rPr>
                <w:noProof/>
                <w:webHidden/>
              </w:rPr>
              <w:fldChar w:fldCharType="end"/>
            </w:r>
          </w:hyperlink>
        </w:p>
        <w:p w:rsidR="00611C19" w:rsidRDefault="00611C19">
          <w:pPr>
            <w:pStyle w:val="TOC2"/>
            <w:tabs>
              <w:tab w:val="right" w:leader="dot" w:pos="9350"/>
            </w:tabs>
            <w:rPr>
              <w:rFonts w:asciiTheme="minorHAnsi" w:eastAsiaTheme="minorEastAsia" w:hAnsiTheme="minorHAnsi" w:cstheme="minorBidi"/>
              <w:noProof/>
              <w:sz w:val="22"/>
              <w:szCs w:val="22"/>
            </w:rPr>
          </w:pPr>
          <w:hyperlink w:anchor="_Toc26150115" w:history="1">
            <w:r w:rsidRPr="002172D5">
              <w:rPr>
                <w:rStyle w:val="Hyperlink"/>
                <w:rFonts w:eastAsiaTheme="majorEastAsia"/>
                <w:noProof/>
              </w:rPr>
              <w:t>8.0. Ethical Issues</w:t>
            </w:r>
            <w:r>
              <w:rPr>
                <w:noProof/>
                <w:webHidden/>
              </w:rPr>
              <w:tab/>
            </w:r>
            <w:r>
              <w:rPr>
                <w:noProof/>
                <w:webHidden/>
              </w:rPr>
              <w:fldChar w:fldCharType="begin"/>
            </w:r>
            <w:r>
              <w:rPr>
                <w:noProof/>
                <w:webHidden/>
              </w:rPr>
              <w:instrText xml:space="preserve"> PAGEREF _Toc26150115 \h </w:instrText>
            </w:r>
            <w:r>
              <w:rPr>
                <w:noProof/>
                <w:webHidden/>
              </w:rPr>
            </w:r>
            <w:r>
              <w:rPr>
                <w:noProof/>
                <w:webHidden/>
              </w:rPr>
              <w:fldChar w:fldCharType="separate"/>
            </w:r>
            <w:r>
              <w:rPr>
                <w:noProof/>
                <w:webHidden/>
              </w:rPr>
              <w:t>32</w:t>
            </w:r>
            <w:r>
              <w:rPr>
                <w:noProof/>
                <w:webHidden/>
              </w:rPr>
              <w:fldChar w:fldCharType="end"/>
            </w:r>
          </w:hyperlink>
        </w:p>
        <w:p w:rsidR="00611C19" w:rsidRDefault="00611C19">
          <w:pPr>
            <w:pStyle w:val="TOC2"/>
            <w:tabs>
              <w:tab w:val="right" w:leader="dot" w:pos="9350"/>
            </w:tabs>
            <w:rPr>
              <w:rFonts w:asciiTheme="minorHAnsi" w:eastAsiaTheme="minorEastAsia" w:hAnsiTheme="minorHAnsi" w:cstheme="minorBidi"/>
              <w:noProof/>
              <w:sz w:val="22"/>
              <w:szCs w:val="22"/>
            </w:rPr>
          </w:pPr>
          <w:hyperlink w:anchor="_Toc26150116" w:history="1">
            <w:r w:rsidRPr="002172D5">
              <w:rPr>
                <w:rStyle w:val="Hyperlink"/>
                <w:rFonts w:eastAsiaTheme="majorEastAsia"/>
                <w:noProof/>
              </w:rPr>
              <w:t>9.0. Final screening</w:t>
            </w:r>
            <w:r>
              <w:rPr>
                <w:noProof/>
                <w:webHidden/>
              </w:rPr>
              <w:tab/>
            </w:r>
            <w:r>
              <w:rPr>
                <w:noProof/>
                <w:webHidden/>
              </w:rPr>
              <w:fldChar w:fldCharType="begin"/>
            </w:r>
            <w:r>
              <w:rPr>
                <w:noProof/>
                <w:webHidden/>
              </w:rPr>
              <w:instrText xml:space="preserve"> PAGEREF _Toc26150116 \h </w:instrText>
            </w:r>
            <w:r>
              <w:rPr>
                <w:noProof/>
                <w:webHidden/>
              </w:rPr>
            </w:r>
            <w:r>
              <w:rPr>
                <w:noProof/>
                <w:webHidden/>
              </w:rPr>
              <w:fldChar w:fldCharType="separate"/>
            </w:r>
            <w:r>
              <w:rPr>
                <w:noProof/>
                <w:webHidden/>
              </w:rPr>
              <w:t>33</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17" w:history="1">
            <w:r w:rsidRPr="002172D5">
              <w:rPr>
                <w:rStyle w:val="Hyperlink"/>
                <w:rFonts w:eastAsiaTheme="majorEastAsia"/>
                <w:noProof/>
              </w:rPr>
              <w:t>9.1. Reasons for Selecting Sweden over Norway</w:t>
            </w:r>
            <w:r>
              <w:rPr>
                <w:noProof/>
                <w:webHidden/>
              </w:rPr>
              <w:tab/>
            </w:r>
            <w:r>
              <w:rPr>
                <w:noProof/>
                <w:webHidden/>
              </w:rPr>
              <w:fldChar w:fldCharType="begin"/>
            </w:r>
            <w:r>
              <w:rPr>
                <w:noProof/>
                <w:webHidden/>
              </w:rPr>
              <w:instrText xml:space="preserve"> PAGEREF _Toc26150117 \h </w:instrText>
            </w:r>
            <w:r>
              <w:rPr>
                <w:noProof/>
                <w:webHidden/>
              </w:rPr>
            </w:r>
            <w:r>
              <w:rPr>
                <w:noProof/>
                <w:webHidden/>
              </w:rPr>
              <w:fldChar w:fldCharType="separate"/>
            </w:r>
            <w:r>
              <w:rPr>
                <w:noProof/>
                <w:webHidden/>
              </w:rPr>
              <w:t>33</w:t>
            </w:r>
            <w:r>
              <w:rPr>
                <w:noProof/>
                <w:webHidden/>
              </w:rPr>
              <w:fldChar w:fldCharType="end"/>
            </w:r>
          </w:hyperlink>
        </w:p>
        <w:p w:rsidR="00611C19" w:rsidRDefault="00611C19">
          <w:pPr>
            <w:pStyle w:val="TOC3"/>
            <w:tabs>
              <w:tab w:val="right" w:leader="dot" w:pos="9350"/>
            </w:tabs>
            <w:rPr>
              <w:rFonts w:asciiTheme="minorHAnsi" w:eastAsiaTheme="minorEastAsia" w:hAnsiTheme="minorHAnsi" w:cstheme="minorBidi"/>
              <w:noProof/>
              <w:sz w:val="22"/>
              <w:szCs w:val="22"/>
            </w:rPr>
          </w:pPr>
          <w:hyperlink w:anchor="_Toc26150118" w:history="1">
            <w:r w:rsidRPr="002172D5">
              <w:rPr>
                <w:rStyle w:val="Hyperlink"/>
                <w:rFonts w:eastAsiaTheme="majorEastAsia"/>
                <w:noProof/>
              </w:rPr>
              <w:t>9.2. How you plan to conduct further research. Be specific</w:t>
            </w:r>
            <w:r>
              <w:rPr>
                <w:noProof/>
                <w:webHidden/>
              </w:rPr>
              <w:tab/>
            </w:r>
            <w:r>
              <w:rPr>
                <w:noProof/>
                <w:webHidden/>
              </w:rPr>
              <w:fldChar w:fldCharType="begin"/>
            </w:r>
            <w:r>
              <w:rPr>
                <w:noProof/>
                <w:webHidden/>
              </w:rPr>
              <w:instrText xml:space="preserve"> PAGEREF _Toc26150118 \h </w:instrText>
            </w:r>
            <w:r>
              <w:rPr>
                <w:noProof/>
                <w:webHidden/>
              </w:rPr>
            </w:r>
            <w:r>
              <w:rPr>
                <w:noProof/>
                <w:webHidden/>
              </w:rPr>
              <w:fldChar w:fldCharType="separate"/>
            </w:r>
            <w:r>
              <w:rPr>
                <w:noProof/>
                <w:webHidden/>
              </w:rPr>
              <w:t>34</w:t>
            </w:r>
            <w:r>
              <w:rPr>
                <w:noProof/>
                <w:webHidden/>
              </w:rPr>
              <w:fldChar w:fldCharType="end"/>
            </w:r>
          </w:hyperlink>
        </w:p>
        <w:p w:rsidR="00611C19" w:rsidRDefault="00611C19">
          <w:pPr>
            <w:pStyle w:val="TOC1"/>
            <w:tabs>
              <w:tab w:val="right" w:leader="dot" w:pos="9350"/>
            </w:tabs>
            <w:rPr>
              <w:rFonts w:asciiTheme="minorHAnsi" w:eastAsiaTheme="minorEastAsia" w:hAnsiTheme="minorHAnsi" w:cstheme="minorBidi"/>
              <w:noProof/>
              <w:sz w:val="22"/>
              <w:szCs w:val="22"/>
            </w:rPr>
          </w:pPr>
          <w:hyperlink w:anchor="_Toc26150119" w:history="1">
            <w:r w:rsidRPr="002172D5">
              <w:rPr>
                <w:rStyle w:val="Hyperlink"/>
                <w:rFonts w:eastAsiaTheme="majorEastAsia"/>
                <w:noProof/>
              </w:rPr>
              <w:t>10.0. Conclusion and Recommendations</w:t>
            </w:r>
            <w:r>
              <w:rPr>
                <w:noProof/>
                <w:webHidden/>
              </w:rPr>
              <w:tab/>
            </w:r>
            <w:r>
              <w:rPr>
                <w:noProof/>
                <w:webHidden/>
              </w:rPr>
              <w:fldChar w:fldCharType="begin"/>
            </w:r>
            <w:r>
              <w:rPr>
                <w:noProof/>
                <w:webHidden/>
              </w:rPr>
              <w:instrText xml:space="preserve"> PAGEREF _Toc26150119 \h </w:instrText>
            </w:r>
            <w:r>
              <w:rPr>
                <w:noProof/>
                <w:webHidden/>
              </w:rPr>
            </w:r>
            <w:r>
              <w:rPr>
                <w:noProof/>
                <w:webHidden/>
              </w:rPr>
              <w:fldChar w:fldCharType="separate"/>
            </w:r>
            <w:r>
              <w:rPr>
                <w:noProof/>
                <w:webHidden/>
              </w:rPr>
              <w:t>34</w:t>
            </w:r>
            <w:r>
              <w:rPr>
                <w:noProof/>
                <w:webHidden/>
              </w:rPr>
              <w:fldChar w:fldCharType="end"/>
            </w:r>
          </w:hyperlink>
        </w:p>
        <w:p w:rsidR="00611C19" w:rsidRDefault="00611C19">
          <w:pPr>
            <w:pStyle w:val="TOC1"/>
            <w:tabs>
              <w:tab w:val="right" w:leader="dot" w:pos="9350"/>
            </w:tabs>
            <w:rPr>
              <w:rFonts w:asciiTheme="minorHAnsi" w:eastAsiaTheme="minorEastAsia" w:hAnsiTheme="minorHAnsi" w:cstheme="minorBidi"/>
              <w:noProof/>
              <w:sz w:val="22"/>
              <w:szCs w:val="22"/>
            </w:rPr>
          </w:pPr>
          <w:hyperlink w:anchor="_Toc26150120" w:history="1">
            <w:r w:rsidRPr="002172D5">
              <w:rPr>
                <w:rStyle w:val="Hyperlink"/>
                <w:rFonts w:eastAsiaTheme="majorEastAsia"/>
                <w:noProof/>
              </w:rPr>
              <w:t>References</w:t>
            </w:r>
            <w:r>
              <w:rPr>
                <w:noProof/>
                <w:webHidden/>
              </w:rPr>
              <w:tab/>
            </w:r>
            <w:r>
              <w:rPr>
                <w:noProof/>
                <w:webHidden/>
              </w:rPr>
              <w:fldChar w:fldCharType="begin"/>
            </w:r>
            <w:r>
              <w:rPr>
                <w:noProof/>
                <w:webHidden/>
              </w:rPr>
              <w:instrText xml:space="preserve"> PAGEREF _Toc26150120 \h </w:instrText>
            </w:r>
            <w:r>
              <w:rPr>
                <w:noProof/>
                <w:webHidden/>
              </w:rPr>
            </w:r>
            <w:r>
              <w:rPr>
                <w:noProof/>
                <w:webHidden/>
              </w:rPr>
              <w:fldChar w:fldCharType="separate"/>
            </w:r>
            <w:r>
              <w:rPr>
                <w:noProof/>
                <w:webHidden/>
              </w:rPr>
              <w:t>35</w:t>
            </w:r>
            <w:r>
              <w:rPr>
                <w:noProof/>
                <w:webHidden/>
              </w:rPr>
              <w:fldChar w:fldCharType="end"/>
            </w:r>
          </w:hyperlink>
        </w:p>
        <w:p w:rsidR="00611C19" w:rsidRDefault="00611C19">
          <w:pPr>
            <w:pStyle w:val="TOC1"/>
            <w:tabs>
              <w:tab w:val="right" w:leader="dot" w:pos="9350"/>
            </w:tabs>
            <w:rPr>
              <w:rFonts w:asciiTheme="minorHAnsi" w:eastAsiaTheme="minorEastAsia" w:hAnsiTheme="minorHAnsi" w:cstheme="minorBidi"/>
              <w:noProof/>
              <w:sz w:val="22"/>
              <w:szCs w:val="22"/>
            </w:rPr>
          </w:pPr>
          <w:hyperlink w:anchor="_Toc26150121" w:history="1">
            <w:r w:rsidRPr="002172D5">
              <w:rPr>
                <w:rStyle w:val="Hyperlink"/>
                <w:rFonts w:eastAsiaTheme="majorEastAsia"/>
                <w:noProof/>
              </w:rPr>
              <w:t>Appendixes</w:t>
            </w:r>
            <w:r>
              <w:rPr>
                <w:noProof/>
                <w:webHidden/>
              </w:rPr>
              <w:tab/>
            </w:r>
            <w:r>
              <w:rPr>
                <w:noProof/>
                <w:webHidden/>
              </w:rPr>
              <w:fldChar w:fldCharType="begin"/>
            </w:r>
            <w:r>
              <w:rPr>
                <w:noProof/>
                <w:webHidden/>
              </w:rPr>
              <w:instrText xml:space="preserve"> PAGEREF _Toc26150121 \h </w:instrText>
            </w:r>
            <w:r>
              <w:rPr>
                <w:noProof/>
                <w:webHidden/>
              </w:rPr>
            </w:r>
            <w:r>
              <w:rPr>
                <w:noProof/>
                <w:webHidden/>
              </w:rPr>
              <w:fldChar w:fldCharType="separate"/>
            </w:r>
            <w:r>
              <w:rPr>
                <w:noProof/>
                <w:webHidden/>
              </w:rPr>
              <w:t>37</w:t>
            </w:r>
            <w:r>
              <w:rPr>
                <w:noProof/>
                <w:webHidden/>
              </w:rPr>
              <w:fldChar w:fldCharType="end"/>
            </w:r>
          </w:hyperlink>
        </w:p>
        <w:p w:rsidR="00091CCC" w:rsidRDefault="00091CCC" w:rsidP="00F92174">
          <w:r w:rsidRPr="003B1C3C">
            <w:rPr>
              <w:b/>
              <w:bCs/>
              <w:noProof/>
            </w:rPr>
            <w:fldChar w:fldCharType="end"/>
          </w:r>
        </w:p>
      </w:sdtContent>
    </w:sdt>
    <w:p w:rsidR="00091CCC" w:rsidRPr="00CC4F5C" w:rsidRDefault="00091CCC" w:rsidP="00F92174">
      <w:pPr>
        <w:spacing w:line="480" w:lineRule="auto"/>
        <w:rPr>
          <w:b/>
          <w:color w:val="800000"/>
        </w:rPr>
      </w:pPr>
    </w:p>
    <w:p w:rsidR="00CE3DAF" w:rsidRDefault="00CE3DAF" w:rsidP="00F92174">
      <w:pPr>
        <w:spacing w:line="480" w:lineRule="auto"/>
        <w:rPr>
          <w:b/>
        </w:rPr>
      </w:pPr>
    </w:p>
    <w:p w:rsidR="00255FC4" w:rsidRDefault="00255FC4" w:rsidP="00F92174">
      <w:pPr>
        <w:spacing w:line="480" w:lineRule="auto"/>
        <w:rPr>
          <w:b/>
        </w:rPr>
      </w:pPr>
    </w:p>
    <w:p w:rsidR="00224D38" w:rsidRDefault="00224D38" w:rsidP="00F92174">
      <w:pPr>
        <w:spacing w:line="480" w:lineRule="auto"/>
        <w:rPr>
          <w:b/>
        </w:rPr>
      </w:pPr>
    </w:p>
    <w:p w:rsidR="00224D38" w:rsidRDefault="00224D38" w:rsidP="00F92174">
      <w:pPr>
        <w:spacing w:line="480" w:lineRule="auto"/>
        <w:rPr>
          <w:b/>
        </w:rPr>
      </w:pPr>
    </w:p>
    <w:p w:rsidR="00611C19" w:rsidRDefault="00611C19" w:rsidP="00F92174">
      <w:pPr>
        <w:pStyle w:val="Heading2"/>
        <w:spacing w:line="480" w:lineRule="auto"/>
        <w:rPr>
          <w:rFonts w:ascii="Times New Roman" w:hAnsi="Times New Roman" w:cs="Times New Roman"/>
          <w:b w:val="0"/>
          <w:bCs w:val="0"/>
          <w:sz w:val="24"/>
          <w:szCs w:val="24"/>
        </w:rPr>
      </w:pPr>
      <w:bookmarkStart w:id="1" w:name="_Toc26150078"/>
    </w:p>
    <w:p w:rsidR="00611C19" w:rsidRDefault="00611C19" w:rsidP="00F92174">
      <w:pPr>
        <w:pStyle w:val="Heading2"/>
        <w:spacing w:line="480" w:lineRule="auto"/>
        <w:rPr>
          <w:rFonts w:ascii="Times New Roman" w:hAnsi="Times New Roman" w:cs="Times New Roman"/>
          <w:b w:val="0"/>
          <w:bCs w:val="0"/>
          <w:sz w:val="24"/>
          <w:szCs w:val="24"/>
        </w:rPr>
      </w:pPr>
    </w:p>
    <w:p w:rsidR="00611C19" w:rsidRDefault="00611C19" w:rsidP="00F92174">
      <w:pPr>
        <w:pStyle w:val="Heading2"/>
        <w:spacing w:line="480" w:lineRule="auto"/>
        <w:rPr>
          <w:rFonts w:ascii="Times New Roman" w:hAnsi="Times New Roman" w:cs="Times New Roman"/>
          <w:b w:val="0"/>
          <w:bCs w:val="0"/>
          <w:sz w:val="24"/>
          <w:szCs w:val="24"/>
        </w:rPr>
      </w:pPr>
    </w:p>
    <w:p w:rsidR="00611C19" w:rsidRDefault="00611C19" w:rsidP="00F92174">
      <w:pPr>
        <w:pStyle w:val="Heading2"/>
        <w:spacing w:line="480" w:lineRule="auto"/>
        <w:rPr>
          <w:rFonts w:ascii="Times New Roman" w:hAnsi="Times New Roman" w:cs="Times New Roman"/>
          <w:b w:val="0"/>
          <w:bCs w:val="0"/>
          <w:sz w:val="24"/>
          <w:szCs w:val="24"/>
        </w:rPr>
      </w:pPr>
    </w:p>
    <w:p w:rsidR="00611C19" w:rsidRDefault="00611C19" w:rsidP="00F92174">
      <w:pPr>
        <w:pStyle w:val="Heading2"/>
        <w:spacing w:line="480" w:lineRule="auto"/>
        <w:rPr>
          <w:rFonts w:ascii="Times New Roman" w:hAnsi="Times New Roman" w:cs="Times New Roman"/>
          <w:b w:val="0"/>
          <w:bCs w:val="0"/>
          <w:sz w:val="24"/>
          <w:szCs w:val="24"/>
        </w:rPr>
      </w:pPr>
    </w:p>
    <w:p w:rsidR="00611C19" w:rsidRDefault="00611C19" w:rsidP="00611C19">
      <w:pPr>
        <w:jc w:val="center"/>
        <w:rPr>
          <w:b/>
          <w:bCs/>
        </w:rPr>
      </w:pPr>
    </w:p>
    <w:p w:rsidR="00611C19" w:rsidRDefault="00611C19" w:rsidP="00611C19">
      <w:pPr>
        <w:jc w:val="center"/>
        <w:rPr>
          <w:b/>
          <w:bCs/>
        </w:rPr>
      </w:pPr>
    </w:p>
    <w:p w:rsidR="00611C19" w:rsidRDefault="00611C19" w:rsidP="00611C19">
      <w:pPr>
        <w:jc w:val="center"/>
        <w:rPr>
          <w:b/>
          <w:bCs/>
        </w:rPr>
      </w:pPr>
    </w:p>
    <w:p w:rsidR="00CE3DAF" w:rsidRPr="00CC4F5C" w:rsidRDefault="00B02F79" w:rsidP="0059539A">
      <w:pPr>
        <w:spacing w:line="480" w:lineRule="auto"/>
        <w:jc w:val="center"/>
      </w:pPr>
      <w:r w:rsidRPr="00CC4F5C">
        <w:rPr>
          <w:b/>
          <w:bCs/>
        </w:rPr>
        <w:lastRenderedPageBreak/>
        <w:t>1.</w:t>
      </w:r>
      <w:r w:rsidRPr="00CC4F5C">
        <w:t xml:space="preserve">0. </w:t>
      </w:r>
      <w:r w:rsidR="00CE3DAF" w:rsidRPr="00CC4F5C">
        <w:t>Introduction</w:t>
      </w:r>
      <w:bookmarkEnd w:id="1"/>
    </w:p>
    <w:p w:rsidR="0059539A" w:rsidRDefault="0059539A" w:rsidP="0059539A">
      <w:pPr>
        <w:pStyle w:val="NormalWeb"/>
        <w:spacing w:before="0" w:beforeAutospacing="0" w:after="0" w:afterAutospacing="0" w:line="480" w:lineRule="auto"/>
        <w:ind w:firstLine="720"/>
        <w:rPr>
          <w:color w:val="1C1E29"/>
        </w:rPr>
      </w:pPr>
      <w:bookmarkStart w:id="2" w:name="_Toc26150085"/>
      <w:r>
        <w:rPr>
          <w:color w:val="1C1E29"/>
        </w:rPr>
        <w:t>Chipotle Mexican Grill, Inc. is an American multinational incorporated in the Delaware State to operate a fast-casual restaurant model with a laser-focus on providing the famed Mexican cuisines. The company has been able to maximize its mantra, </w:t>
      </w:r>
      <w:r>
        <w:rPr>
          <w:rStyle w:val="Emphasis"/>
          <w:color w:val="1C1E29"/>
        </w:rPr>
        <w:t>Food with Integrity</w:t>
      </w:r>
      <w:r>
        <w:rPr>
          <w:color w:val="1C1E29"/>
        </w:rPr>
        <w:t> to sustain continuous growth in the local U.S. market and in the internal sphere. The company has apparent significant growth in the domestic U.S. market, which necessitates the need to maximize the international commence capabilities by undertaking a thorough scanning of the Nordic environment. The two potential investments destination for Chipotle are Sweden and Norway. Therefore, environmental scanning is an essential approach to ensure the preferred destination is the most advantageous for foreign direct investment (FDI). </w:t>
      </w:r>
    </w:p>
    <w:p w:rsidR="0059539A" w:rsidRDefault="0059539A" w:rsidP="0059539A">
      <w:pPr>
        <w:pStyle w:val="NormalWeb"/>
        <w:spacing w:before="0" w:beforeAutospacing="0" w:after="0" w:afterAutospacing="0" w:line="480" w:lineRule="auto"/>
        <w:rPr>
          <w:color w:val="1C1E29"/>
        </w:rPr>
      </w:pPr>
      <w:r>
        <w:rPr>
          <w:rStyle w:val="Strong"/>
          <w:color w:val="1C1E29"/>
        </w:rPr>
        <w:t>2.0. Company or Product Background </w:t>
      </w:r>
    </w:p>
    <w:p w:rsidR="0059539A" w:rsidRDefault="0059539A" w:rsidP="0059539A">
      <w:pPr>
        <w:pStyle w:val="NormalWeb"/>
        <w:spacing w:before="0" w:beforeAutospacing="0" w:after="0" w:afterAutospacing="0" w:line="480" w:lineRule="auto"/>
        <w:rPr>
          <w:color w:val="1C1E29"/>
        </w:rPr>
      </w:pPr>
      <w:r>
        <w:rPr>
          <w:rStyle w:val="Emphasis"/>
          <w:color w:val="1C1E29"/>
        </w:rPr>
        <w:t>2.1. Name of the company and address</w:t>
      </w:r>
    </w:p>
    <w:p w:rsidR="0059539A" w:rsidRDefault="0059539A" w:rsidP="0059539A">
      <w:pPr>
        <w:pStyle w:val="NormalWeb"/>
        <w:spacing w:before="0" w:beforeAutospacing="0" w:after="0" w:afterAutospacing="0" w:line="480" w:lineRule="auto"/>
        <w:rPr>
          <w:color w:val="1C1E29"/>
        </w:rPr>
      </w:pPr>
      <w:r>
        <w:rPr>
          <w:color w:val="1C1E29"/>
        </w:rPr>
        <w:t>           In 2018, Chipotle consolidated its administrative functions from the New York and Denver offices to a new headquarters in Southern California. Equally, some of the functions were consolidated from the Denver offices to Chipotle’s Columbus, Ohio offices to reflect on the new strategic alignments and changes in business models (Whitten, 2018). The key consolidated functions at the new headquarter include marketing, finance, supply chain management, business development, technology, human resources (HR), and a host of other operational departments (ibid). The restructuring decision led to pertinent cost and strategic implications because of the 400 employees lost and $42.6 million in expenditure incurred (SEC, 2018). The management anticipates the cost implication can aggregate to the 2019 fiscal year.</w:t>
      </w:r>
    </w:p>
    <w:p w:rsidR="0059539A" w:rsidRDefault="0059539A" w:rsidP="0059539A">
      <w:pPr>
        <w:pStyle w:val="NormalWeb"/>
        <w:spacing w:before="0" w:beforeAutospacing="0" w:after="0" w:afterAutospacing="0" w:line="480" w:lineRule="auto"/>
        <w:rPr>
          <w:color w:val="1C1E29"/>
        </w:rPr>
      </w:pPr>
      <w:r>
        <w:rPr>
          <w:color w:val="1C1E29"/>
        </w:rPr>
        <w:t>The physical address for the principal executive location is </w:t>
      </w:r>
      <w:r>
        <w:rPr>
          <w:rStyle w:val="Strong"/>
          <w:color w:val="1C1E29"/>
        </w:rPr>
        <w:t>610 Newport Center Drive, Suite-1300 Newport Beach, California. </w:t>
      </w:r>
      <w:r>
        <w:rPr>
          <w:color w:val="1C1E29"/>
        </w:rPr>
        <w:t>The zip code for the new office is</w:t>
      </w:r>
      <w:r>
        <w:rPr>
          <w:rStyle w:val="Strong"/>
          <w:color w:val="1C1E29"/>
        </w:rPr>
        <w:t> 92660</w:t>
      </w:r>
      <w:r>
        <w:rPr>
          <w:color w:val="1C1E29"/>
        </w:rPr>
        <w:t xml:space="preserve"> and telephone </w:t>
      </w:r>
      <w:r>
        <w:rPr>
          <w:color w:val="1C1E29"/>
        </w:rPr>
        <w:lastRenderedPageBreak/>
        <w:t>contact </w:t>
      </w:r>
      <w:r>
        <w:rPr>
          <w:rStyle w:val="Strong"/>
          <w:color w:val="1C1E29"/>
        </w:rPr>
        <w:t>(303) 595-4000. </w:t>
      </w:r>
      <w:r>
        <w:rPr>
          <w:color w:val="1C1E29"/>
        </w:rPr>
        <w:t>The company uses leasing strategies to manage the cost of operating the new offices.</w:t>
      </w:r>
    </w:p>
    <w:p w:rsidR="0059539A" w:rsidRDefault="0059539A" w:rsidP="0059539A">
      <w:pPr>
        <w:pStyle w:val="NormalWeb"/>
        <w:spacing w:before="0" w:beforeAutospacing="0" w:after="0" w:afterAutospacing="0" w:line="480" w:lineRule="auto"/>
        <w:rPr>
          <w:color w:val="1C1E29"/>
        </w:rPr>
      </w:pPr>
      <w:r>
        <w:rPr>
          <w:rStyle w:val="Emphasis"/>
          <w:color w:val="1C1E29"/>
        </w:rPr>
        <w:t>2.2. Type of industry (with SIC code)                                 </w:t>
      </w:r>
    </w:p>
    <w:p w:rsidR="0059539A" w:rsidRDefault="0059539A" w:rsidP="0059539A">
      <w:pPr>
        <w:pStyle w:val="NormalWeb"/>
        <w:spacing w:before="0" w:beforeAutospacing="0" w:after="0" w:afterAutospacing="0" w:line="480" w:lineRule="auto"/>
        <w:rPr>
          <w:color w:val="1C1E29"/>
        </w:rPr>
      </w:pPr>
      <w:r>
        <w:rPr>
          <w:color w:val="1C1E29"/>
        </w:rPr>
        <w:t>           The use of Standard Industrial Classification (SIC) in the U.S has gained traction as a management tool. A SIC CODE is a four-digit number used to categorizes and communicate the specific industry of a particular corporation (SICCODE.com, 2019). The U.S. government adopted the North American Industry Classification System (NAICS) in 1977 that provides a six-digit code that standardizes industry data collection for the three members of the North American Free Trade Agreement (ibid). The SIC CODE facilitates the government and investors to deduce the economic trends and the level of activities across different sectors.</w:t>
      </w:r>
    </w:p>
    <w:p w:rsidR="0059539A" w:rsidRDefault="0059539A" w:rsidP="0059539A">
      <w:pPr>
        <w:pStyle w:val="NormalWeb"/>
        <w:spacing w:before="0" w:beforeAutospacing="0" w:after="0" w:afterAutospacing="0" w:line="480" w:lineRule="auto"/>
        <w:rPr>
          <w:color w:val="1C1E29"/>
        </w:rPr>
      </w:pPr>
      <w:r>
        <w:rPr>
          <w:color w:val="1C1E29"/>
        </w:rPr>
        <w:t>           Importantly, Chipotle maximizes the SIC and NAICS categorization to harness the data analyses and categorization in the broad accommodation and food-services sector. The primary industry categorization codes </w:t>
      </w:r>
      <w:r>
        <w:rPr>
          <w:rStyle w:val="Strong"/>
          <w:color w:val="1C1E29"/>
        </w:rPr>
        <w:t>SIC CODE 5812</w:t>
      </w:r>
      <w:r>
        <w:rPr>
          <w:color w:val="1C1E29"/>
        </w:rPr>
        <w:t> categorizes the company as an EATING PLACE venture and </w:t>
      </w:r>
      <w:r>
        <w:rPr>
          <w:rStyle w:val="Strong"/>
          <w:color w:val="1C1E29"/>
        </w:rPr>
        <w:t>NAICS Codes 722511</w:t>
      </w:r>
      <w:r>
        <w:rPr>
          <w:color w:val="1C1E29"/>
        </w:rPr>
        <w:t> is used to portray Chipotle as a FULL-SERVICE RESTAURANT (SICCODE.com, 2019).</w:t>
      </w:r>
    </w:p>
    <w:p w:rsidR="0059539A" w:rsidRDefault="0059539A" w:rsidP="0059539A">
      <w:pPr>
        <w:pStyle w:val="NormalWeb"/>
        <w:spacing w:before="0" w:beforeAutospacing="0" w:after="0" w:afterAutospacing="0" w:line="480" w:lineRule="auto"/>
        <w:rPr>
          <w:color w:val="1C1E29"/>
        </w:rPr>
      </w:pPr>
      <w:r>
        <w:rPr>
          <w:rStyle w:val="Emphasis"/>
          <w:color w:val="1C1E29"/>
        </w:rPr>
        <w:t>2.3. History of the company </w:t>
      </w:r>
    </w:p>
    <w:p w:rsidR="0059539A" w:rsidRDefault="0059539A" w:rsidP="0059539A">
      <w:pPr>
        <w:pStyle w:val="NormalWeb"/>
        <w:spacing w:before="0" w:beforeAutospacing="0" w:after="0" w:afterAutospacing="0" w:line="480" w:lineRule="auto"/>
        <w:rPr>
          <w:color w:val="1C1E29"/>
        </w:rPr>
      </w:pPr>
      <w:r>
        <w:rPr>
          <w:color w:val="1C1E29"/>
        </w:rPr>
        <w:t>           Chipotle began in 1993 as an experimental venture to ascertain the popularity of Mexican menus in Denver, Colorado. Steve Ells began a Mexican-theme venture to sell </w:t>
      </w:r>
      <w:r>
        <w:rPr>
          <w:rStyle w:val="Emphasis"/>
          <w:color w:val="1C1E29"/>
        </w:rPr>
        <w:t>burritos </w:t>
      </w:r>
      <w:r>
        <w:rPr>
          <w:color w:val="1C1E29"/>
        </w:rPr>
        <w:t>after securing a loan of $85,000 from his father (</w:t>
      </w:r>
      <w:proofErr w:type="spellStart"/>
      <w:r>
        <w:rPr>
          <w:color w:val="1C1E29"/>
        </w:rPr>
        <w:t>Daszkowski</w:t>
      </w:r>
      <w:proofErr w:type="spellEnd"/>
      <w:r>
        <w:rPr>
          <w:color w:val="1C1E29"/>
        </w:rPr>
        <w:t>, 2018). The initial plan was to sell at least 107</w:t>
      </w:r>
      <w:r>
        <w:rPr>
          <w:rStyle w:val="Emphasis"/>
          <w:color w:val="1C1E29"/>
        </w:rPr>
        <w:t> burritos </w:t>
      </w:r>
      <w:r>
        <w:rPr>
          <w:color w:val="1C1E29"/>
        </w:rPr>
        <w:t xml:space="preserve">per day to safeguard profitability (ibid). Surprisingly, Mr. </w:t>
      </w:r>
      <w:proofErr w:type="spellStart"/>
      <w:r>
        <w:rPr>
          <w:color w:val="1C1E29"/>
        </w:rPr>
        <w:t>Ells's</w:t>
      </w:r>
      <w:proofErr w:type="spellEnd"/>
      <w:r>
        <w:rPr>
          <w:color w:val="1C1E29"/>
        </w:rPr>
        <w:t xml:space="preserve"> venture was able to sell a minimum of 1000</w:t>
      </w:r>
      <w:r>
        <w:rPr>
          <w:rStyle w:val="Emphasis"/>
          <w:color w:val="1C1E29"/>
        </w:rPr>
        <w:t> burritos </w:t>
      </w:r>
      <w:r>
        <w:rPr>
          <w:color w:val="1C1E29"/>
        </w:rPr>
        <w:t xml:space="preserve">per day in the first month (ibid). The growths propelled the Culinary Institute of America-trained chef-cum-entrepreneur to shelve off the initial business idea of opening a fine-dining restaurant and focus on developing the Chipotle Mexican Grill. </w:t>
      </w:r>
      <w:r>
        <w:rPr>
          <w:color w:val="1C1E29"/>
        </w:rPr>
        <w:lastRenderedPageBreak/>
        <w:t>From a single store in Denver, Chipotle had opened over 2400 casual fine-dining model of a restaurant in 2017 across the 40 States in the country (SEC, 2018).</w:t>
      </w:r>
    </w:p>
    <w:p w:rsidR="0059539A" w:rsidRDefault="0059539A" w:rsidP="0059539A">
      <w:pPr>
        <w:pStyle w:val="NormalWeb"/>
        <w:spacing w:before="0" w:beforeAutospacing="0" w:after="0" w:afterAutospacing="0" w:line="480" w:lineRule="auto"/>
        <w:rPr>
          <w:color w:val="1C1E29"/>
        </w:rPr>
      </w:pPr>
      <w:r>
        <w:rPr>
          <w:color w:val="1C1E29"/>
        </w:rPr>
        <w:t>           An important milestone was apparent in 1998 when McDonald's made a minority investment to the Chipotle and propelled the latter to embark on an expansionary strategy. The company had expanded the numbers of stores to 500 in 2005, which provided a financial safeguard and market share in the casual fine-dining sector (</w:t>
      </w:r>
      <w:proofErr w:type="spellStart"/>
      <w:r>
        <w:rPr>
          <w:color w:val="1C1E29"/>
        </w:rPr>
        <w:t>Daszkowski</w:t>
      </w:r>
      <w:proofErr w:type="spellEnd"/>
      <w:r>
        <w:rPr>
          <w:color w:val="1C1E29"/>
        </w:rPr>
        <w:t>, 2018). Effectively, the divestment approach taken by McDonald's, which had become a majority investor, was seen to elicit minimal effects on the financial capabilities of the firm. Chipotle resolved to re-purchase its previous franchises models and listed at the NYSE in 2007 at a par value of </w:t>
      </w:r>
      <w:r>
        <w:rPr>
          <w:rStyle w:val="Strong"/>
          <w:color w:val="1C1E29"/>
        </w:rPr>
        <w:t>$0.01 per common share (SEC, 2018)</w:t>
      </w:r>
      <w:r>
        <w:rPr>
          <w:color w:val="1C1E29"/>
        </w:rPr>
        <w:t xml:space="preserve">. The company trades using a symbol ‘CMG’ with 914 current holders of the common stocks as in January 2019 (ibid). The dividend policy for the company favors a plow-back approach characterized by continuous retaining of the earnings generated to enhance daily operations, facilitate business expansion, or repurchase of shares from the stock </w:t>
      </w:r>
      <w:bookmarkStart w:id="3" w:name="_GoBack"/>
      <w:bookmarkEnd w:id="3"/>
      <w:r>
        <w:rPr>
          <w:color w:val="1C1E29"/>
        </w:rPr>
        <w:t>portfolios (ibid). A plow-back approach is a delicate capital management approach because it involves a decision to prioritize the interests of business over the need for continuous dividends and returns for the shareholders.</w:t>
      </w:r>
    </w:p>
    <w:p w:rsidR="0059539A" w:rsidRDefault="0059539A" w:rsidP="0059539A">
      <w:pPr>
        <w:pStyle w:val="NormalWeb"/>
        <w:spacing w:before="0" w:beforeAutospacing="0" w:after="0" w:afterAutospacing="0" w:line="480" w:lineRule="auto"/>
        <w:rPr>
          <w:color w:val="1C1E29"/>
        </w:rPr>
      </w:pPr>
      <w:r>
        <w:rPr>
          <w:color w:val="1C1E29"/>
        </w:rPr>
        <w:t>           Another pertinent milestone for the Chipotle has been the change of location, support personnel, senior management teams, and board of directors in 2018. The resignation of the founder and chief executive officer (CEO) Mr. Steve Ells in November 2017 heralded a fundamental paradigm shift (</w:t>
      </w:r>
      <w:proofErr w:type="spellStart"/>
      <w:r>
        <w:rPr>
          <w:color w:val="1C1E29"/>
        </w:rPr>
        <w:t>Daszkowski</w:t>
      </w:r>
      <w:proofErr w:type="spellEnd"/>
      <w:r>
        <w:rPr>
          <w:color w:val="1C1E29"/>
        </w:rPr>
        <w:t xml:space="preserve">, 2018). Mr. Brian </w:t>
      </w:r>
      <w:proofErr w:type="spellStart"/>
      <w:r>
        <w:rPr>
          <w:color w:val="1C1E29"/>
        </w:rPr>
        <w:t>Niccol</w:t>
      </w:r>
      <w:proofErr w:type="spellEnd"/>
      <w:r>
        <w:rPr>
          <w:color w:val="1C1E29"/>
        </w:rPr>
        <w:t xml:space="preserve">, a former CEO to the Taco Bell, replaced Mr. Ells at the helm of the senior management team in March 2018 (ibid). Mr. Ells subsequently moved to the corporate governance team as the chairperson of the Board of Directors (SEC, 2018). The new changes provided another double-edge knife scenario for the </w:t>
      </w:r>
      <w:r>
        <w:rPr>
          <w:color w:val="1C1E29"/>
        </w:rPr>
        <w:lastRenderedPageBreak/>
        <w:t>company because of the 12% gain in share values vis-à-vis the loss of 400 support personnel (ibid). The company had to incur a restructuring expenditure cost of $42.6 billion in recruiting new employees and payout for the canceled lease contracts (ibid). The cash flow implications of the restructuring expenditure are dire and long-term.  </w:t>
      </w:r>
    </w:p>
    <w:p w:rsidR="0059539A" w:rsidRDefault="0059539A" w:rsidP="0059539A">
      <w:pPr>
        <w:pStyle w:val="NormalWeb"/>
        <w:spacing w:before="0" w:beforeAutospacing="0" w:after="0" w:afterAutospacing="0" w:line="480" w:lineRule="auto"/>
        <w:rPr>
          <w:color w:val="1C1E29"/>
        </w:rPr>
      </w:pPr>
      <w:r>
        <w:rPr>
          <w:rStyle w:val="Emphasis"/>
          <w:color w:val="1C1E29"/>
        </w:rPr>
        <w:t>2.4. Reason for Expanding to Overseas Markets</w:t>
      </w:r>
    </w:p>
    <w:p w:rsidR="0059539A" w:rsidRDefault="0059539A" w:rsidP="0059539A">
      <w:pPr>
        <w:pStyle w:val="NormalWeb"/>
        <w:spacing w:before="0" w:beforeAutospacing="0" w:after="0" w:afterAutospacing="0" w:line="480" w:lineRule="auto"/>
        <w:rPr>
          <w:color w:val="1C1E29"/>
        </w:rPr>
      </w:pPr>
      <w:r>
        <w:rPr>
          <w:color w:val="1C1E29"/>
        </w:rPr>
        <w:t>           Currently, Chipotle operates 2452 restaurants across the U.S. and only 37 international restaurants. Therefore, the experiences and lessons amassed from the 26 years provide robust impetus to venture into the Nordic European region. The benefits of international commerce tend to surpass the concerns about cost, inability to assimilate the new culture, and potential failures. A decision to venture into the merits of the Swedish and Norwegian market because of the protracted economic growth, compatible consumer cultures, shift in preferences toward healthy food options, as well as the endowment of robust competencies and resources (Plowman, 2019). Multinational entities (MNEs) in the restaurant sector that include McDonald's endeavor to gain competitiveness because of the ability to maximize the benefits of international commerce.</w:t>
      </w:r>
    </w:p>
    <w:p w:rsidR="0059539A" w:rsidRDefault="0059539A" w:rsidP="00B2575D">
      <w:pPr>
        <w:pStyle w:val="NormalWeb"/>
        <w:spacing w:before="0" w:beforeAutospacing="0" w:after="0" w:afterAutospacing="0" w:line="480" w:lineRule="auto"/>
        <w:rPr>
          <w:color w:val="1C1E29"/>
        </w:rPr>
      </w:pPr>
      <w:r>
        <w:rPr>
          <w:color w:val="1C1E29"/>
        </w:rPr>
        <w:t>           The Nordic restaurant sector has apparent profound changes because of the globalization and liberalization strategy, which attract multinational entities. The notable economic parameter that attracts MNEs is the growing population of </w:t>
      </w:r>
      <w:r>
        <w:rPr>
          <w:rStyle w:val="Strong"/>
          <w:color w:val="1C1E29"/>
        </w:rPr>
        <w:t>10.1 million </w:t>
      </w:r>
      <w:r>
        <w:rPr>
          <w:color w:val="1C1E29"/>
        </w:rPr>
        <w:t>Swedish and </w:t>
      </w:r>
      <w:r>
        <w:rPr>
          <w:rStyle w:val="Strong"/>
          <w:color w:val="1C1E29"/>
        </w:rPr>
        <w:t>5.3 million</w:t>
      </w:r>
      <w:r>
        <w:rPr>
          <w:color w:val="1C1E29"/>
        </w:rPr>
        <w:t> Norwegians (Focus-Economics, 2019)</w:t>
      </w:r>
      <w:r>
        <w:rPr>
          <w:rStyle w:val="Strong"/>
          <w:color w:val="1C1E29"/>
        </w:rPr>
        <w:t>. </w:t>
      </w:r>
      <w:r>
        <w:rPr>
          <w:color w:val="1C1E29"/>
        </w:rPr>
        <w:t>The high population provides a sustainable market for the commodities and source of labor that harness long-term business growth. Besides, the consumers’ preferences for healthy foods match with the mantra of </w:t>
      </w:r>
      <w:r>
        <w:rPr>
          <w:rStyle w:val="Emphasis"/>
          <w:color w:val="1C1E29"/>
        </w:rPr>
        <w:t>Food with Integrity</w:t>
      </w:r>
      <w:r>
        <w:rPr>
          <w:color w:val="1C1E29"/>
        </w:rPr>
        <w:t xml:space="preserve"> that hedge against international competitors (Chipotle.com, 2019). The Nordic restaurant sector has also appeared a proliferation of superior technologies and innovations. Chipotle prioritizes </w:t>
      </w:r>
      <w:r>
        <w:rPr>
          <w:color w:val="1C1E29"/>
        </w:rPr>
        <w:lastRenderedPageBreak/>
        <w:t>innovations as a means to gain competitive edges because of the ability to improve customer experiences using online-ordering platforms.</w:t>
      </w:r>
    </w:p>
    <w:p w:rsidR="0059539A" w:rsidRDefault="0059539A" w:rsidP="00B2575D">
      <w:pPr>
        <w:pStyle w:val="NormalWeb"/>
        <w:spacing w:before="0" w:beforeAutospacing="0" w:after="0" w:afterAutospacing="0" w:line="480" w:lineRule="auto"/>
        <w:rPr>
          <w:color w:val="1C1E29"/>
        </w:rPr>
      </w:pPr>
      <w:r>
        <w:rPr>
          <w:rStyle w:val="Emphasis"/>
          <w:color w:val="1C1E29"/>
        </w:rPr>
        <w:t>2.5. Description of the Product </w:t>
      </w:r>
    </w:p>
    <w:p w:rsidR="0059539A" w:rsidRDefault="0059539A" w:rsidP="00B2575D">
      <w:pPr>
        <w:pStyle w:val="NormalWeb"/>
        <w:spacing w:before="0" w:beforeAutospacing="0" w:after="0" w:afterAutospacing="0" w:line="480" w:lineRule="auto"/>
        <w:rPr>
          <w:color w:val="1C1E29"/>
        </w:rPr>
      </w:pPr>
      <w:r>
        <w:rPr>
          <w:color w:val="1C1E29"/>
        </w:rPr>
        <w:t>           Chipotle has been able to gain competency and competitive advantage because it employs the classic method of food preparation and preservations. Further, the ‘star’ restaurant menus that the company aims to introduce to the Nordic market include the </w:t>
      </w:r>
      <w:r>
        <w:rPr>
          <w:rStyle w:val="Emphasis"/>
          <w:color w:val="1C1E29"/>
        </w:rPr>
        <w:t>Beef Burritos, Burrito Bowls with chicken, Ground Beef Tacos, and Salads (Chipotle.com, 2019). </w:t>
      </w:r>
      <w:r>
        <w:rPr>
          <w:color w:val="1C1E29"/>
        </w:rPr>
        <w:t xml:space="preserve">Other secondary products will gear to enhance consumers’ choices include the protein food options of chicken, steak, and </w:t>
      </w:r>
      <w:proofErr w:type="spellStart"/>
      <w:r>
        <w:rPr>
          <w:color w:val="1C1E29"/>
        </w:rPr>
        <w:t>carnitas</w:t>
      </w:r>
      <w:proofErr w:type="spellEnd"/>
      <w:r>
        <w:rPr>
          <w:color w:val="1C1E29"/>
        </w:rPr>
        <w:t xml:space="preserve"> (ibid). Availing herbs, spices, and seasonings will help to align the product portfolios to the Nordic food culture characterized by emphasizing purity, simplicity, freshness, and strong spices (Nordic Council of Minister, 2015). Chipotle will endeavor to avail varieties of non-alcoholic beverages that include sodas, organic milk, fruit drinks, tea, as well as a selection of beer and margaritas brands (SEC, 2018). The use of locally sourced materials that hinges on achieving sustainable supply is another strategy that can bolster the competitiveness in the Nordic countries of Norway and Sweden.</w:t>
      </w:r>
    </w:p>
    <w:p w:rsidR="0059539A" w:rsidRDefault="0059539A" w:rsidP="00B2575D">
      <w:pPr>
        <w:pStyle w:val="NormalWeb"/>
        <w:spacing w:before="0" w:beforeAutospacing="0" w:after="0" w:afterAutospacing="0" w:line="480" w:lineRule="auto"/>
        <w:rPr>
          <w:color w:val="1C1E29"/>
        </w:rPr>
      </w:pPr>
      <w:r>
        <w:rPr>
          <w:color w:val="1C1E29"/>
        </w:rPr>
        <w:t>           Both Norway and Sweden adhere to the European’s Harmonized System and Tariff Schedule to achieve standardization of custom practices with the rest of Europe counterparts. The European nations assign six-code digits to indicate the Harmonize System Number (HS#) for each export to ensure similar products are subject to similar custom practices that include excise taxes (European Custom Portal, 2019). The first two-digit outline the section of the product while the middle two-digit indicates the chapter of the product in the HS. The last two-digit is specific to the subheading of the product in the HS. The specific HS# for the ‘star’ restaurant menu or </w:t>
      </w:r>
      <w:r>
        <w:rPr>
          <w:rStyle w:val="Emphasis"/>
          <w:color w:val="1C1E29"/>
        </w:rPr>
        <w:t>Beef Burritos, Burrito Bowls with chicken, </w:t>
      </w:r>
      <w:r>
        <w:rPr>
          <w:color w:val="1C1E29"/>
        </w:rPr>
        <w:t>and</w:t>
      </w:r>
      <w:r>
        <w:rPr>
          <w:rStyle w:val="Emphasis"/>
          <w:color w:val="1C1E29"/>
        </w:rPr>
        <w:t> Ground Beef Tacos </w:t>
      </w:r>
      <w:r>
        <w:rPr>
          <w:color w:val="1C1E29"/>
        </w:rPr>
        <w:t xml:space="preserve">in the two </w:t>
      </w:r>
      <w:r>
        <w:rPr>
          <w:color w:val="1C1E29"/>
        </w:rPr>
        <w:lastRenderedPageBreak/>
        <w:t>Nordic countries is </w:t>
      </w:r>
      <w:r>
        <w:rPr>
          <w:rStyle w:val="Strong"/>
          <w:color w:val="1C1E29"/>
        </w:rPr>
        <w:t>02.01-0210</w:t>
      </w:r>
      <w:r>
        <w:rPr>
          <w:color w:val="1C1E29"/>
        </w:rPr>
        <w:t> because of the meat and edible meat offal ingredient. The salad menu belongs to the HS# </w:t>
      </w:r>
      <w:r>
        <w:rPr>
          <w:rStyle w:val="Strong"/>
          <w:color w:val="1C1E29"/>
        </w:rPr>
        <w:t>07.01-0714 </w:t>
      </w:r>
      <w:r>
        <w:rPr>
          <w:color w:val="1C1E29"/>
        </w:rPr>
        <w:t>because it comprises of edible vegetables and certain roots and tubers. Another nomenclature category applicable to the Chipotle’s salad is the HS# </w:t>
      </w:r>
      <w:r>
        <w:rPr>
          <w:rStyle w:val="Strong"/>
          <w:color w:val="1C1E29"/>
        </w:rPr>
        <w:t>08.01-0814 </w:t>
      </w:r>
      <w:r>
        <w:rPr>
          <w:color w:val="1C1E29"/>
        </w:rPr>
        <w:t>because it comprises of edible fruit and nuts; peel of citrus fruits of melon. Lastly, the nomenclature for the non-alcoholic beverages and spices in the European HS# is </w:t>
      </w:r>
      <w:r>
        <w:rPr>
          <w:rStyle w:val="Strong"/>
          <w:color w:val="1C1E29"/>
        </w:rPr>
        <w:t>09.01-0910</w:t>
      </w:r>
    </w:p>
    <w:p w:rsidR="00CE3DAF" w:rsidRPr="00611C19" w:rsidRDefault="0076618B" w:rsidP="00B2575D">
      <w:pPr>
        <w:spacing w:line="480" w:lineRule="auto"/>
        <w:rPr>
          <w:b/>
        </w:rPr>
      </w:pPr>
      <w:r w:rsidRPr="00611C19">
        <w:rPr>
          <w:b/>
        </w:rPr>
        <w:t>3.</w:t>
      </w:r>
      <w:r w:rsidR="002A7575" w:rsidRPr="00611C19">
        <w:rPr>
          <w:b/>
        </w:rPr>
        <w:t xml:space="preserve">0. </w:t>
      </w:r>
      <w:r w:rsidR="00C34B52" w:rsidRPr="00611C19">
        <w:rPr>
          <w:b/>
        </w:rPr>
        <w:t>General Market Screening</w:t>
      </w:r>
      <w:bookmarkEnd w:id="2"/>
    </w:p>
    <w:p w:rsidR="0059539A" w:rsidRDefault="0059539A" w:rsidP="00B2575D">
      <w:pPr>
        <w:pStyle w:val="NormalWeb"/>
        <w:spacing w:before="0" w:beforeAutospacing="0" w:after="0" w:afterAutospacing="0" w:line="480" w:lineRule="auto"/>
        <w:rPr>
          <w:color w:val="1C1E29"/>
        </w:rPr>
      </w:pPr>
      <w:r>
        <w:rPr>
          <w:rStyle w:val="Emphasis"/>
          <w:color w:val="1C1E29"/>
        </w:rPr>
        <w:t>3.1. Basic Needs Potential for the Product in Norway and Sweden</w:t>
      </w:r>
    </w:p>
    <w:p w:rsidR="0059539A" w:rsidRDefault="0059539A" w:rsidP="00B2575D">
      <w:pPr>
        <w:pStyle w:val="NormalWeb"/>
        <w:spacing w:before="0" w:beforeAutospacing="0" w:after="0" w:afterAutospacing="0" w:line="480" w:lineRule="auto"/>
        <w:rPr>
          <w:color w:val="1C1E29"/>
        </w:rPr>
      </w:pPr>
      <w:r>
        <w:rPr>
          <w:color w:val="1C1E29"/>
        </w:rPr>
        <w:t>           The Nordic region has an apparent revolution in the food culture that triggers a significant paradigm shift in the food and restaurant industry. According to the Nordic Council of Minister, there has been a change in perception across the Scandinavian countries because of the new food cultures that trigger the availability of different food varieties, eating habits, use of resources, and traditions (2015). Specifically, the new Nordic food culture in Norway has emerged to propel the positive image of the Norwegian foods to a global standpoint point (ibid). A core need in the Norwegian food culture is to overemphasize the sustainability as well as the wellness and health of the consumers (ibid). Another study indicates the top-five possibilities of the Norwegian market, which include increased preferences for the casual-fine dining experiences among the young consumers, a growing population of health-conscious consumers across the country, and consumers’ focus on value-for-money proposition (</w:t>
      </w:r>
      <w:proofErr w:type="spellStart"/>
      <w:r>
        <w:rPr>
          <w:color w:val="1C1E29"/>
        </w:rPr>
        <w:t>Mäkelä</w:t>
      </w:r>
      <w:proofErr w:type="spellEnd"/>
      <w:r>
        <w:rPr>
          <w:color w:val="1C1E29"/>
        </w:rPr>
        <w:t xml:space="preserve">, </w:t>
      </w:r>
      <w:proofErr w:type="spellStart"/>
      <w:r>
        <w:rPr>
          <w:color w:val="1C1E29"/>
        </w:rPr>
        <w:t>Lillebø</w:t>
      </w:r>
      <w:proofErr w:type="spellEnd"/>
      <w:r>
        <w:rPr>
          <w:color w:val="1C1E29"/>
        </w:rPr>
        <w:t xml:space="preserve">, &amp; </w:t>
      </w:r>
      <w:proofErr w:type="spellStart"/>
      <w:r>
        <w:rPr>
          <w:color w:val="1C1E29"/>
        </w:rPr>
        <w:t>Lammi</w:t>
      </w:r>
      <w:proofErr w:type="spellEnd"/>
      <w:r>
        <w:rPr>
          <w:color w:val="1C1E29"/>
        </w:rPr>
        <w:t>, 2011). Other critical opportunities in the Norwegian food sector include a surge in demand for flexibility and variability in the restaurant menus as well as to the provision of amenities that enhances social engagement during mealtime (ibid). The Chipotle Mexican Grill, Inc. has a duty to evaluate the ability to march the five core needs to gain adequate market share in the Norwegian market. </w:t>
      </w:r>
    </w:p>
    <w:p w:rsidR="0059539A" w:rsidRDefault="0059539A" w:rsidP="00B2575D">
      <w:pPr>
        <w:pStyle w:val="NormalWeb"/>
        <w:spacing w:before="0" w:beforeAutospacing="0" w:after="0" w:afterAutospacing="0" w:line="480" w:lineRule="auto"/>
        <w:rPr>
          <w:color w:val="1C1E29"/>
        </w:rPr>
      </w:pPr>
      <w:r>
        <w:rPr>
          <w:color w:val="1C1E29"/>
        </w:rPr>
        <w:lastRenderedPageBreak/>
        <w:t>           Conversely, the sweeping changes in Nordic food culture have led to profound opportunities in the Swedish food industry, which also necessitate the new entrants to realign their strategy options. The Swedish market demonstrates the need for innovation and continuous value-creation as the source of key opportunities (Nordic Council of Minister, 2015). The growing food tourism in Sweden is a key indicator of the positive opportunity because consumers perceive their food options as a symbol of pride and self-esteem (ibid). Therefore, Chipotle’s craft production of food that hinges on the tenet of </w:t>
      </w:r>
      <w:r>
        <w:rPr>
          <w:rStyle w:val="Emphasis"/>
          <w:color w:val="1C1E29"/>
        </w:rPr>
        <w:t>Food with Integrity </w:t>
      </w:r>
      <w:r>
        <w:rPr>
          <w:color w:val="1C1E29"/>
        </w:rPr>
        <w:t>and the classic cooking method provides the caliber of preparedness to gain competitiveness in the Swedish market. </w:t>
      </w:r>
    </w:p>
    <w:p w:rsidR="0059539A" w:rsidRDefault="0059539A" w:rsidP="00B2575D">
      <w:pPr>
        <w:pStyle w:val="NormalWeb"/>
        <w:spacing w:before="0" w:beforeAutospacing="0" w:after="0" w:afterAutospacing="0" w:line="480" w:lineRule="auto"/>
        <w:rPr>
          <w:color w:val="1C1E29"/>
        </w:rPr>
      </w:pPr>
      <w:r>
        <w:rPr>
          <w:rStyle w:val="Emphasis"/>
          <w:color w:val="1C1E29"/>
        </w:rPr>
        <w:t>3.2. Climate Condition of the Target Countries</w:t>
      </w:r>
    </w:p>
    <w:p w:rsidR="0059539A" w:rsidRDefault="0059539A" w:rsidP="00B2575D">
      <w:pPr>
        <w:pStyle w:val="NormalWeb"/>
        <w:spacing w:before="0" w:beforeAutospacing="0" w:after="0" w:afterAutospacing="0" w:line="480" w:lineRule="auto"/>
        <w:rPr>
          <w:color w:val="1C1E29"/>
        </w:rPr>
      </w:pPr>
      <w:r>
        <w:rPr>
          <w:color w:val="1C1E29"/>
        </w:rPr>
        <w:t xml:space="preserve">           Besides the positive paradigm shifts in the Nordic food culture, the region boasts of favorable climatic conditions. Overall, the Nordic region is the northern part of Europe, which receives a significant amount of hours of sunshine to favor the production of spices, fishing, and other agricultural activities (Nordic Council of Minister, 2015). Comparatively, Sweden has a relatively milder climatic condition than its Nordic neighboring countries that include Norway and Iceland. The average temperate of Sweden is 130C to 170C during the hottest months and experiences the low temperatures of -220C to -30C, which decreases to -300C in the Southern region (Weather Online, </w:t>
      </w:r>
      <w:proofErr w:type="spellStart"/>
      <w:r>
        <w:rPr>
          <w:color w:val="1C1E29"/>
        </w:rPr>
        <w:t>n.d.</w:t>
      </w:r>
      <w:proofErr w:type="spellEnd"/>
      <w:r>
        <w:rPr>
          <w:color w:val="1C1E29"/>
        </w:rPr>
        <w:t>). The entire country is snowbound during the winter season. The country also has a unique climatic phenomenon characterized by continuous daylight during the part of the summer while the night skies during the winter experience the </w:t>
      </w:r>
      <w:r>
        <w:rPr>
          <w:rStyle w:val="Emphasis"/>
          <w:color w:val="1C1E29"/>
        </w:rPr>
        <w:t>aurora borealis </w:t>
      </w:r>
      <w:r>
        <w:rPr>
          <w:color w:val="1C1E29"/>
        </w:rPr>
        <w:t>(Northern Lights) marvels.</w:t>
      </w:r>
    </w:p>
    <w:p w:rsidR="0059539A" w:rsidRDefault="0059539A" w:rsidP="00B2575D">
      <w:pPr>
        <w:pStyle w:val="NormalWeb"/>
        <w:spacing w:before="0" w:beforeAutospacing="0" w:after="0" w:afterAutospacing="0" w:line="480" w:lineRule="auto"/>
        <w:rPr>
          <w:color w:val="1C1E29"/>
        </w:rPr>
      </w:pPr>
      <w:r>
        <w:rPr>
          <w:color w:val="1C1E29"/>
        </w:rPr>
        <w:t xml:space="preserve">A review on the climatic condition target country merits because of the changes in seasons influence the buyers’ behaviors. Often, the level of activities during the summer period is high </w:t>
      </w:r>
      <w:r>
        <w:rPr>
          <w:color w:val="1C1E29"/>
        </w:rPr>
        <w:lastRenderedPageBreak/>
        <w:t>because of the increased number of tourists visiting the country and the increase in outdoor activities. Moreover, the relative longer daylight provides sufficient warmth necessary to spur the growth of the raw materials, which aligns with the organization's strategy to source from the local markets. Therefore, the favorable and unique climatic conditions in Sweden provide an impetus for the Chipotle Mexican Grill, Inc. to venture into the new European market to maximize the increasing food tourism during the summer and winter seasons.</w:t>
      </w:r>
    </w:p>
    <w:p w:rsidR="0059539A" w:rsidRDefault="0059539A" w:rsidP="00B2575D">
      <w:pPr>
        <w:pStyle w:val="NormalWeb"/>
        <w:spacing w:before="0" w:beforeAutospacing="0" w:after="0" w:afterAutospacing="0" w:line="480" w:lineRule="auto"/>
        <w:rPr>
          <w:color w:val="1C1E29"/>
        </w:rPr>
      </w:pPr>
      <w:r>
        <w:rPr>
          <w:color w:val="1C1E29"/>
        </w:rPr>
        <w:t xml:space="preserve">           On the other hand, the climatic condition for Norway is relatively favorable than some of the neighboring countries. Norway has two distinctive climatic conditions for its coastal and inland regions. The coastal zone is a densely populated region than the inland zone because of the warmer weather and habitable terrain. The average temperature for the country ranges from the low of -100C to the highest of 160C (Weather Online, </w:t>
      </w:r>
      <w:proofErr w:type="spellStart"/>
      <w:r>
        <w:rPr>
          <w:color w:val="1C1E29"/>
        </w:rPr>
        <w:t>n.d.</w:t>
      </w:r>
      <w:proofErr w:type="spellEnd"/>
      <w:r>
        <w:rPr>
          <w:color w:val="1C1E29"/>
        </w:rPr>
        <w:t>). Therefore, the low-temperature ranges evident in Norway have a negative implication on supporting significant agricultural activities. Moreover, the rainfall distribution between the inland and coastal regions is uneven because the former area experiences an average rainfall of 500 millimeters per year vis-à-vis an average of 3000 millimeters annually (ibid). The coastal region receives conventional rainfall because of the warm and wet wind from the Norwegian Sea.</w:t>
      </w:r>
    </w:p>
    <w:p w:rsidR="0059539A" w:rsidRDefault="0059539A" w:rsidP="00B2575D">
      <w:pPr>
        <w:pStyle w:val="NormalWeb"/>
        <w:spacing w:before="0" w:beforeAutospacing="0" w:after="0" w:afterAutospacing="0" w:line="480" w:lineRule="auto"/>
        <w:rPr>
          <w:color w:val="1C1E29"/>
        </w:rPr>
      </w:pPr>
      <w:r>
        <w:rPr>
          <w:color w:val="1C1E29"/>
        </w:rPr>
        <w:t>           Importantly, the uneven climatic condition in Norway influences Chipotle’s decision on the appropriate region to establish the physical stores. The coastal region is better suited to open a physical store because of the high population density that provides a sufficient market. Further, the warmer pattern and adequate rainfall distribution elicit ideal conditions for agricultural practices. Therefore, a decision to favor the launch of a physical store in the coastal region is a strategically viable endeavor that can accord Chipotle competitiveness because of access to a large market and sourcing of local produces.</w:t>
      </w:r>
    </w:p>
    <w:p w:rsidR="0059539A" w:rsidRDefault="0059539A" w:rsidP="00B2575D">
      <w:pPr>
        <w:pStyle w:val="NormalWeb"/>
        <w:spacing w:before="0" w:beforeAutospacing="0" w:after="0" w:afterAutospacing="0" w:line="480" w:lineRule="auto"/>
        <w:rPr>
          <w:color w:val="1C1E29"/>
        </w:rPr>
      </w:pPr>
      <w:r>
        <w:rPr>
          <w:rStyle w:val="Emphasis"/>
          <w:color w:val="1C1E29"/>
        </w:rPr>
        <w:lastRenderedPageBreak/>
        <w:t>3.3. The topography of the Target Countries</w:t>
      </w:r>
    </w:p>
    <w:p w:rsidR="0059539A" w:rsidRDefault="0059539A" w:rsidP="00B2575D">
      <w:pPr>
        <w:pStyle w:val="NormalWeb"/>
        <w:spacing w:before="0" w:beforeAutospacing="0" w:after="0" w:afterAutospacing="0" w:line="480" w:lineRule="auto"/>
        <w:rPr>
          <w:color w:val="1C1E29"/>
        </w:rPr>
      </w:pPr>
      <w:r>
        <w:rPr>
          <w:color w:val="1C1E29"/>
        </w:rPr>
        <w:t xml:space="preserve">           The topological features found in Sweden and Norway bears a significant resemblance because of the rugged coastline, snow-capped mountains, and numerous inland lakes. Sweden borders Norway to the west in an area covered by the </w:t>
      </w:r>
      <w:proofErr w:type="spellStart"/>
      <w:r>
        <w:rPr>
          <w:color w:val="1C1E29"/>
        </w:rPr>
        <w:t>Kjolen</w:t>
      </w:r>
      <w:proofErr w:type="spellEnd"/>
      <w:r>
        <w:rPr>
          <w:color w:val="1C1E29"/>
        </w:rPr>
        <w:t xml:space="preserve"> Mountains. The </w:t>
      </w:r>
      <w:proofErr w:type="spellStart"/>
      <w:r>
        <w:rPr>
          <w:color w:val="1C1E29"/>
        </w:rPr>
        <w:t>Kebnekaise</w:t>
      </w:r>
      <w:proofErr w:type="spellEnd"/>
      <w:r>
        <w:rPr>
          <w:color w:val="1C1E29"/>
        </w:rPr>
        <w:t xml:space="preserve"> is the highest point in Sweden with an altitude of above 7,000 feet above the sea level. Another critical topological attribute is the numbers of rivers and stream that enhances transportation as well as enhance economic activities. River </w:t>
      </w:r>
      <w:proofErr w:type="spellStart"/>
      <w:r>
        <w:rPr>
          <w:color w:val="1C1E29"/>
        </w:rPr>
        <w:t>Angerman</w:t>
      </w:r>
      <w:proofErr w:type="spellEnd"/>
      <w:r>
        <w:rPr>
          <w:color w:val="1C1E29"/>
        </w:rPr>
        <w:t xml:space="preserve"> is the largest river. Other large rivers include </w:t>
      </w:r>
      <w:proofErr w:type="spellStart"/>
      <w:r>
        <w:rPr>
          <w:color w:val="1C1E29"/>
        </w:rPr>
        <w:t>Eman</w:t>
      </w:r>
      <w:proofErr w:type="spellEnd"/>
      <w:r>
        <w:rPr>
          <w:color w:val="1C1E29"/>
        </w:rPr>
        <w:t xml:space="preserve">, </w:t>
      </w:r>
      <w:proofErr w:type="spellStart"/>
      <w:r>
        <w:rPr>
          <w:color w:val="1C1E29"/>
        </w:rPr>
        <w:t>Indal</w:t>
      </w:r>
      <w:proofErr w:type="spellEnd"/>
      <w:r>
        <w:rPr>
          <w:color w:val="1C1E29"/>
        </w:rPr>
        <w:t xml:space="preserve">, Lagan, and </w:t>
      </w:r>
      <w:proofErr w:type="spellStart"/>
      <w:r>
        <w:rPr>
          <w:color w:val="1C1E29"/>
        </w:rPr>
        <w:t>Lule</w:t>
      </w:r>
      <w:proofErr w:type="spellEnd"/>
      <w:r>
        <w:rPr>
          <w:color w:val="1C1E29"/>
        </w:rPr>
        <w:t>. The majority of the rivers drain into the Gulf of Bothnia to the east.</w:t>
      </w:r>
    </w:p>
    <w:p w:rsidR="0059539A" w:rsidRDefault="0059539A" w:rsidP="00B2575D">
      <w:pPr>
        <w:pStyle w:val="NormalWeb"/>
        <w:spacing w:before="0" w:beforeAutospacing="0" w:after="0" w:afterAutospacing="0" w:line="480" w:lineRule="auto"/>
        <w:rPr>
          <w:color w:val="1C1E29"/>
        </w:rPr>
      </w:pPr>
      <w:r>
        <w:rPr>
          <w:color w:val="1C1E29"/>
        </w:rPr>
        <w:t xml:space="preserve">           Equally, Norway has been engulfed by numerous water bodies, which enhance transportation and fishing activities. The notable water bodies include the Barents Sea, Norwegian Sea, North Sea, and Skagerrak Sea. The </w:t>
      </w:r>
      <w:proofErr w:type="spellStart"/>
      <w:r>
        <w:rPr>
          <w:color w:val="1C1E29"/>
        </w:rPr>
        <w:t>Hardanger</w:t>
      </w:r>
      <w:proofErr w:type="spellEnd"/>
      <w:r>
        <w:rPr>
          <w:color w:val="1C1E29"/>
        </w:rPr>
        <w:t xml:space="preserve"> Plateau is the largest in Europe covering a region of 4600 square miles. Norway is similar to its neighboring Sweden because of the numerous navigable rivers that enhance inland transportation and hosts of economic activities. River Glama is the largest river that covers a distant of 372 miles and located in the southern region. An overview of the topological attributes of Norway and Sweden depicts the similarities between the two Nordic nations. Therefore, the choice of a better investment destination should focus on other modules inherent in this plan because of the near-similarity of the topological attributes of Norway and Sweden.</w:t>
      </w:r>
    </w:p>
    <w:p w:rsidR="0059539A" w:rsidRDefault="0059539A" w:rsidP="00B2575D">
      <w:pPr>
        <w:pStyle w:val="NormalWeb"/>
        <w:spacing w:before="0" w:beforeAutospacing="0" w:after="0" w:afterAutospacing="0" w:line="480" w:lineRule="auto"/>
        <w:rPr>
          <w:color w:val="1C1E29"/>
        </w:rPr>
      </w:pPr>
      <w:r>
        <w:rPr>
          <w:rStyle w:val="Strong"/>
          <w:color w:val="1C1E29"/>
        </w:rPr>
        <w:t>4.0. Financial and Economic Screening </w:t>
      </w:r>
    </w:p>
    <w:p w:rsidR="0059539A" w:rsidRDefault="0059539A" w:rsidP="00B2575D">
      <w:pPr>
        <w:pStyle w:val="NormalWeb"/>
        <w:spacing w:before="0" w:beforeAutospacing="0" w:after="0" w:afterAutospacing="0" w:line="480" w:lineRule="auto"/>
        <w:rPr>
          <w:color w:val="1C1E29"/>
        </w:rPr>
      </w:pPr>
      <w:r>
        <w:rPr>
          <w:rStyle w:val="Emphasis"/>
          <w:color w:val="1C1E29"/>
        </w:rPr>
        <w:t>4.1. Brief Summary of Economic Indicators</w:t>
      </w:r>
    </w:p>
    <w:p w:rsidR="0059539A" w:rsidRDefault="0059539A" w:rsidP="00B2575D">
      <w:pPr>
        <w:pStyle w:val="NormalWeb"/>
        <w:spacing w:before="0" w:beforeAutospacing="0" w:after="0" w:afterAutospacing="0" w:line="480" w:lineRule="auto"/>
        <w:rPr>
          <w:color w:val="1C1E29"/>
        </w:rPr>
      </w:pPr>
      <w:r>
        <w:rPr>
          <w:color w:val="1C1E29"/>
        </w:rPr>
        <w:t xml:space="preserve">The economic actors are the remote external elements that influence the general living standards of the consumers in a particular jurisdiction. The key indicators of a country’s real sector include </w:t>
      </w:r>
      <w:r>
        <w:rPr>
          <w:color w:val="1C1E29"/>
        </w:rPr>
        <w:lastRenderedPageBreak/>
        <w:t>the changes in the Gross Domestic Product (GDP) per capita, annual GDP growth, consumption and investment variations per year, unemployment rate, the fiscal balance as a percentage of the GDP, and the public debt as a percentage of GDP. Therefore, evaluating the suitability of either Norway or Sweden will hinge on comparative analysis of the performance of each nation’s performance from the point of view of the seven elements of the real sector. The first graph represents each of the seven economic indicators for the Norwegian country.</w:t>
      </w:r>
    </w:p>
    <w:p w:rsidR="0020220D" w:rsidRPr="0020220D" w:rsidRDefault="0020220D" w:rsidP="0020220D">
      <w:pPr>
        <w:pStyle w:val="Caption"/>
        <w:keepNext/>
        <w:rPr>
          <w:b w:val="0"/>
          <w:i/>
          <w:color w:val="auto"/>
          <w:sz w:val="24"/>
          <w:szCs w:val="24"/>
        </w:rPr>
      </w:pPr>
      <w:r w:rsidRPr="0020220D">
        <w:rPr>
          <w:b w:val="0"/>
          <w:i/>
          <w:color w:val="auto"/>
          <w:sz w:val="24"/>
          <w:szCs w:val="24"/>
        </w:rPr>
        <w:t xml:space="preserve">Table </w:t>
      </w:r>
      <w:r w:rsidRPr="0020220D">
        <w:rPr>
          <w:b w:val="0"/>
          <w:i/>
          <w:color w:val="auto"/>
          <w:sz w:val="24"/>
          <w:szCs w:val="24"/>
        </w:rPr>
        <w:fldChar w:fldCharType="begin"/>
      </w:r>
      <w:r w:rsidRPr="0020220D">
        <w:rPr>
          <w:b w:val="0"/>
          <w:i/>
          <w:color w:val="auto"/>
          <w:sz w:val="24"/>
          <w:szCs w:val="24"/>
        </w:rPr>
        <w:instrText xml:space="preserve"> SEQ Table \* ARABIC </w:instrText>
      </w:r>
      <w:r w:rsidRPr="0020220D">
        <w:rPr>
          <w:b w:val="0"/>
          <w:i/>
          <w:color w:val="auto"/>
          <w:sz w:val="24"/>
          <w:szCs w:val="24"/>
        </w:rPr>
        <w:fldChar w:fldCharType="separate"/>
      </w:r>
      <w:r w:rsidR="00687726">
        <w:rPr>
          <w:b w:val="0"/>
          <w:i/>
          <w:noProof/>
          <w:color w:val="auto"/>
          <w:sz w:val="24"/>
          <w:szCs w:val="24"/>
        </w:rPr>
        <w:t>1</w:t>
      </w:r>
      <w:r w:rsidRPr="0020220D">
        <w:rPr>
          <w:b w:val="0"/>
          <w:i/>
          <w:color w:val="auto"/>
          <w:sz w:val="24"/>
          <w:szCs w:val="24"/>
        </w:rPr>
        <w:fldChar w:fldCharType="end"/>
      </w:r>
      <w:r w:rsidRPr="0020220D">
        <w:rPr>
          <w:b w:val="0"/>
          <w:i/>
          <w:color w:val="auto"/>
          <w:sz w:val="24"/>
          <w:szCs w:val="24"/>
        </w:rPr>
        <w:t>: GDP per Capita Variation</w:t>
      </w:r>
      <w:r w:rsidR="00EB52F8">
        <w:rPr>
          <w:b w:val="0"/>
          <w:i/>
          <w:color w:val="auto"/>
          <w:sz w:val="24"/>
          <w:szCs w:val="24"/>
        </w:rPr>
        <w:t xml:space="preserve"> for Norway</w:t>
      </w:r>
    </w:p>
    <w:p w:rsidR="003622B6" w:rsidRDefault="00F72E34" w:rsidP="001E4EE4">
      <w:pPr>
        <w:spacing w:line="480" w:lineRule="auto"/>
        <w:ind w:firstLine="720"/>
      </w:pPr>
      <w:r>
        <w:rPr>
          <w:noProof/>
        </w:rPr>
        <w:drawing>
          <wp:inline distT="0" distB="0" distL="0" distR="0" wp14:anchorId="2451B52C" wp14:editId="33AB52C5">
            <wp:extent cx="5486400" cy="3209925"/>
            <wp:effectExtent l="0" t="0" r="1905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0220D" w:rsidRDefault="0020220D" w:rsidP="001E4EE4">
      <w:pPr>
        <w:spacing w:line="480" w:lineRule="auto"/>
        <w:ind w:firstLine="720"/>
      </w:pPr>
      <w:r>
        <w:t>(</w:t>
      </w:r>
      <w:r w:rsidR="001D70DA">
        <w:t>Source</w:t>
      </w:r>
      <w:r>
        <w:t>:</w:t>
      </w:r>
      <w:r>
        <w:rPr>
          <w:noProof/>
        </w:rPr>
        <w:t xml:space="preserve"> Focus-Economics, 2019: </w:t>
      </w:r>
      <w:r w:rsidR="001D70DA">
        <w:rPr>
          <w:noProof/>
        </w:rPr>
        <w:t>World Bank, 2019</w:t>
      </w:r>
      <w:r>
        <w:t>)</w:t>
      </w:r>
    </w:p>
    <w:p w:rsidR="00CE5070" w:rsidRPr="00EB52F8" w:rsidRDefault="00CE5070" w:rsidP="00CE5070">
      <w:pPr>
        <w:pStyle w:val="Caption"/>
        <w:keepNext/>
        <w:rPr>
          <w:b w:val="0"/>
          <w:i/>
          <w:color w:val="auto"/>
          <w:sz w:val="24"/>
          <w:szCs w:val="24"/>
        </w:rPr>
      </w:pPr>
      <w:r w:rsidRPr="00EB52F8">
        <w:rPr>
          <w:b w:val="0"/>
          <w:i/>
          <w:color w:val="auto"/>
          <w:sz w:val="24"/>
          <w:szCs w:val="24"/>
        </w:rPr>
        <w:lastRenderedPageBreak/>
        <w:t xml:space="preserve">Table </w:t>
      </w:r>
      <w:r w:rsidRPr="00EB52F8">
        <w:rPr>
          <w:b w:val="0"/>
          <w:i/>
          <w:color w:val="auto"/>
          <w:sz w:val="24"/>
          <w:szCs w:val="24"/>
        </w:rPr>
        <w:fldChar w:fldCharType="begin"/>
      </w:r>
      <w:r w:rsidRPr="00EB52F8">
        <w:rPr>
          <w:b w:val="0"/>
          <w:i/>
          <w:color w:val="auto"/>
          <w:sz w:val="24"/>
          <w:szCs w:val="24"/>
        </w:rPr>
        <w:instrText xml:space="preserve"> SEQ Table \* ARABIC </w:instrText>
      </w:r>
      <w:r w:rsidRPr="00EB52F8">
        <w:rPr>
          <w:b w:val="0"/>
          <w:i/>
          <w:color w:val="auto"/>
          <w:sz w:val="24"/>
          <w:szCs w:val="24"/>
        </w:rPr>
        <w:fldChar w:fldCharType="separate"/>
      </w:r>
      <w:r w:rsidR="00687726">
        <w:rPr>
          <w:b w:val="0"/>
          <w:i/>
          <w:noProof/>
          <w:color w:val="auto"/>
          <w:sz w:val="24"/>
          <w:szCs w:val="24"/>
        </w:rPr>
        <w:t>2</w:t>
      </w:r>
      <w:r w:rsidRPr="00EB52F8">
        <w:rPr>
          <w:b w:val="0"/>
          <w:i/>
          <w:color w:val="auto"/>
          <w:sz w:val="24"/>
          <w:szCs w:val="24"/>
        </w:rPr>
        <w:fldChar w:fldCharType="end"/>
      </w:r>
      <w:r w:rsidRPr="00EB52F8">
        <w:rPr>
          <w:b w:val="0"/>
          <w:i/>
          <w:color w:val="auto"/>
          <w:sz w:val="24"/>
          <w:szCs w:val="24"/>
        </w:rPr>
        <w:t xml:space="preserve">: GDP </w:t>
      </w:r>
      <w:r w:rsidR="00261103">
        <w:rPr>
          <w:b w:val="0"/>
          <w:i/>
          <w:color w:val="auto"/>
          <w:sz w:val="24"/>
          <w:szCs w:val="24"/>
        </w:rPr>
        <w:t>p</w:t>
      </w:r>
      <w:r w:rsidRPr="00EB52F8">
        <w:rPr>
          <w:b w:val="0"/>
          <w:i/>
          <w:color w:val="auto"/>
          <w:sz w:val="24"/>
          <w:szCs w:val="24"/>
        </w:rPr>
        <w:t>er Capital Variation for Sweden</w:t>
      </w:r>
    </w:p>
    <w:p w:rsidR="001D70DA" w:rsidRDefault="00F7757B" w:rsidP="001E4EE4">
      <w:pPr>
        <w:spacing w:line="480" w:lineRule="auto"/>
        <w:ind w:firstLine="720"/>
      </w:pPr>
      <w:r>
        <w:rPr>
          <w:noProof/>
        </w:rPr>
        <w:drawing>
          <wp:inline distT="0" distB="0" distL="0" distR="0">
            <wp:extent cx="5724525" cy="3200400"/>
            <wp:effectExtent l="0" t="0" r="9525"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C0AA2" w:rsidRDefault="008C0AA2" w:rsidP="001E4EE4">
      <w:pPr>
        <w:spacing w:line="480" w:lineRule="auto"/>
        <w:ind w:firstLine="720"/>
      </w:pPr>
      <w:r>
        <w:t>(Source: World Bank, 2019)</w:t>
      </w:r>
    </w:p>
    <w:p w:rsidR="00B2575D" w:rsidRPr="00B2575D" w:rsidRDefault="00B2575D" w:rsidP="00B2575D">
      <w:pPr>
        <w:pStyle w:val="Caption"/>
        <w:keepNext/>
        <w:spacing w:line="480" w:lineRule="auto"/>
        <w:ind w:firstLine="720"/>
        <w:rPr>
          <w:b w:val="0"/>
          <w:color w:val="auto"/>
          <w:sz w:val="24"/>
          <w:szCs w:val="24"/>
        </w:rPr>
      </w:pPr>
      <w:r w:rsidRPr="00B2575D">
        <w:rPr>
          <w:b w:val="0"/>
          <w:color w:val="auto"/>
          <w:sz w:val="24"/>
          <w:szCs w:val="24"/>
        </w:rPr>
        <w:lastRenderedPageBreak/>
        <w:t>Table 1 and Table 2 above reveal the variation of the GDP per capital of Norway and Sweden for the last ten years respectively. Overall, the tables indicate a continuous growth in the value of GDP per capita. The GDP per capita is an economic measure of the ratio of adjusted GDP of a nation to the total population to reveal what real value of citizens. However, the trend recorded in 2011 reveal a ditch in the Norwegian GDP per capital dropping from NOK 87,770 in 2010 to NOK 87,450. The decrease in 2011 reflects the vulnerability of the Norwegian economy to the global phenomenon. The specific event that precipitated a global decline was the emergence of the Arab Spring Revolution that resulted in the disruption of oil prices and supply in addition to the financial recession. Conversely, Sweden mitigated the financial recession of 2011 by maximizes its sales of oil to achieve growth in GDP per capita from $52,132 in 2010 to $53,127. The continuous economic recovery has led to steady growth in both the nation to achieve a GDP per capita of $57,532 for the Swedish and NOK 92,121.</w:t>
      </w:r>
    </w:p>
    <w:p w:rsidR="00B2575D" w:rsidRPr="00B2575D" w:rsidRDefault="00B2575D" w:rsidP="00B2575D">
      <w:pPr>
        <w:pStyle w:val="Caption"/>
        <w:keepNext/>
        <w:spacing w:line="480" w:lineRule="auto"/>
        <w:ind w:firstLine="720"/>
        <w:rPr>
          <w:b w:val="0"/>
          <w:color w:val="auto"/>
          <w:sz w:val="24"/>
          <w:szCs w:val="24"/>
        </w:rPr>
      </w:pPr>
      <w:r w:rsidRPr="00B2575D">
        <w:rPr>
          <w:b w:val="0"/>
          <w:color w:val="auto"/>
          <w:sz w:val="24"/>
          <w:szCs w:val="24"/>
        </w:rPr>
        <w:t>Importantly, the growth rate in Sweden is steep than the Norwegian rate, which manifests the need for Chipotle to venture into the former nation to maximize the economic sprout. Besides, Sweden has a robust economic management scheme because of the ability to hedge against the global financial recession evident in 2011.</w:t>
      </w:r>
    </w:p>
    <w:p w:rsidR="00663A9F" w:rsidRPr="00663A9F" w:rsidRDefault="00663A9F" w:rsidP="00663A9F">
      <w:pPr>
        <w:pStyle w:val="Caption"/>
        <w:keepNext/>
        <w:rPr>
          <w:b w:val="0"/>
          <w:i/>
          <w:color w:val="auto"/>
          <w:sz w:val="24"/>
          <w:szCs w:val="24"/>
        </w:rPr>
      </w:pPr>
      <w:r w:rsidRPr="00663A9F">
        <w:rPr>
          <w:b w:val="0"/>
          <w:i/>
          <w:color w:val="auto"/>
          <w:sz w:val="24"/>
          <w:szCs w:val="24"/>
        </w:rPr>
        <w:t xml:space="preserve">Table </w:t>
      </w:r>
      <w:r w:rsidRPr="00663A9F">
        <w:rPr>
          <w:b w:val="0"/>
          <w:i/>
          <w:color w:val="auto"/>
          <w:sz w:val="24"/>
          <w:szCs w:val="24"/>
        </w:rPr>
        <w:fldChar w:fldCharType="begin"/>
      </w:r>
      <w:r w:rsidRPr="00663A9F">
        <w:rPr>
          <w:b w:val="0"/>
          <w:i/>
          <w:color w:val="auto"/>
          <w:sz w:val="24"/>
          <w:szCs w:val="24"/>
        </w:rPr>
        <w:instrText xml:space="preserve"> SEQ Table \* ARABIC </w:instrText>
      </w:r>
      <w:r w:rsidRPr="00663A9F">
        <w:rPr>
          <w:b w:val="0"/>
          <w:i/>
          <w:color w:val="auto"/>
          <w:sz w:val="24"/>
          <w:szCs w:val="24"/>
        </w:rPr>
        <w:fldChar w:fldCharType="separate"/>
      </w:r>
      <w:r w:rsidR="00687726">
        <w:rPr>
          <w:b w:val="0"/>
          <w:i/>
          <w:noProof/>
          <w:color w:val="auto"/>
          <w:sz w:val="24"/>
          <w:szCs w:val="24"/>
        </w:rPr>
        <w:t>3</w:t>
      </w:r>
      <w:r w:rsidRPr="00663A9F">
        <w:rPr>
          <w:b w:val="0"/>
          <w:i/>
          <w:color w:val="auto"/>
          <w:sz w:val="24"/>
          <w:szCs w:val="24"/>
        </w:rPr>
        <w:fldChar w:fldCharType="end"/>
      </w:r>
      <w:r w:rsidRPr="00663A9F">
        <w:rPr>
          <w:b w:val="0"/>
          <w:i/>
          <w:color w:val="auto"/>
          <w:sz w:val="24"/>
          <w:szCs w:val="24"/>
        </w:rPr>
        <w:t>: Comparison of GDP</w:t>
      </w:r>
      <w:r w:rsidRPr="00663A9F">
        <w:rPr>
          <w:b w:val="0"/>
          <w:i/>
          <w:noProof/>
          <w:color w:val="auto"/>
          <w:sz w:val="24"/>
          <w:szCs w:val="24"/>
        </w:rPr>
        <w:t xml:space="preserve"> from Service in Billion USD</w:t>
      </w:r>
    </w:p>
    <w:p w:rsidR="00EB52F8" w:rsidRDefault="00DC3471" w:rsidP="001E4EE4">
      <w:pPr>
        <w:spacing w:line="480" w:lineRule="auto"/>
        <w:ind w:firstLine="720"/>
      </w:pPr>
      <w:r>
        <w:rPr>
          <w:noProof/>
        </w:rPr>
        <w:lastRenderedPageBreak/>
        <w:drawing>
          <wp:inline distT="0" distB="0" distL="0" distR="0">
            <wp:extent cx="5486400" cy="32004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C0AA2" w:rsidRDefault="008C0AA2" w:rsidP="001E4EE4">
      <w:pPr>
        <w:spacing w:line="480" w:lineRule="auto"/>
        <w:ind w:firstLine="720"/>
      </w:pPr>
      <w:r>
        <w:t>(Source: World Bank, 2019)</w:t>
      </w:r>
    </w:p>
    <w:p w:rsidR="00B2575D" w:rsidRPr="00B2575D" w:rsidRDefault="00B2575D" w:rsidP="00B2575D">
      <w:pPr>
        <w:pStyle w:val="Caption"/>
        <w:keepNext/>
        <w:spacing w:line="480" w:lineRule="auto"/>
        <w:ind w:firstLine="720"/>
        <w:rPr>
          <w:b w:val="0"/>
          <w:color w:val="auto"/>
          <w:sz w:val="24"/>
          <w:szCs w:val="24"/>
        </w:rPr>
      </w:pPr>
      <w:r w:rsidRPr="00B2575D">
        <w:rPr>
          <w:b w:val="0"/>
          <w:color w:val="auto"/>
          <w:sz w:val="24"/>
          <w:szCs w:val="24"/>
        </w:rPr>
        <w:lastRenderedPageBreak/>
        <w:t>Chipotle is a model of Service enterprise in an economy. Therefore, an assessment of the contribution of the Service sector to the GDP in the two nations is a strategic approach to determine the most-economically viable destination for foreign direct investment of the Chipotle Mexican Grill, Inc. Table 3 above reflects the pertinent paradigm shift in the growth of the Service sectors in Norway and Sweden since 2010. Before 2013, the Norwegian Service sector dominated its Swedish counterpart because of the high contributions to the respective GDP aggregates. However, the Swedish Service sector enjoys a superior performance than its Nordic counterpart with the trend expected to continue. Therefore, a strategic decision by the Chipotle management team is to gain access to the Nordic market by investing in Sweden because of the guaranteed economic vibrancy.</w:t>
      </w:r>
    </w:p>
    <w:p w:rsidR="002243FF" w:rsidRPr="002243FF" w:rsidRDefault="002243FF" w:rsidP="002243FF">
      <w:pPr>
        <w:pStyle w:val="Caption"/>
        <w:keepNext/>
        <w:rPr>
          <w:b w:val="0"/>
          <w:i/>
          <w:color w:val="auto"/>
          <w:sz w:val="24"/>
          <w:szCs w:val="24"/>
        </w:rPr>
      </w:pPr>
      <w:r w:rsidRPr="002243FF">
        <w:rPr>
          <w:b w:val="0"/>
          <w:i/>
          <w:color w:val="auto"/>
          <w:sz w:val="24"/>
          <w:szCs w:val="24"/>
        </w:rPr>
        <w:t xml:space="preserve">Table </w:t>
      </w:r>
      <w:r w:rsidRPr="002243FF">
        <w:rPr>
          <w:b w:val="0"/>
          <w:i/>
          <w:color w:val="auto"/>
          <w:sz w:val="24"/>
          <w:szCs w:val="24"/>
        </w:rPr>
        <w:fldChar w:fldCharType="begin"/>
      </w:r>
      <w:r w:rsidRPr="002243FF">
        <w:rPr>
          <w:b w:val="0"/>
          <w:i/>
          <w:color w:val="auto"/>
          <w:sz w:val="24"/>
          <w:szCs w:val="24"/>
        </w:rPr>
        <w:instrText xml:space="preserve"> SEQ Table \* ARABIC </w:instrText>
      </w:r>
      <w:r w:rsidRPr="002243FF">
        <w:rPr>
          <w:b w:val="0"/>
          <w:i/>
          <w:color w:val="auto"/>
          <w:sz w:val="24"/>
          <w:szCs w:val="24"/>
        </w:rPr>
        <w:fldChar w:fldCharType="separate"/>
      </w:r>
      <w:r w:rsidR="00687726">
        <w:rPr>
          <w:b w:val="0"/>
          <w:i/>
          <w:noProof/>
          <w:color w:val="auto"/>
          <w:sz w:val="24"/>
          <w:szCs w:val="24"/>
        </w:rPr>
        <w:t>4</w:t>
      </w:r>
      <w:r w:rsidRPr="002243FF">
        <w:rPr>
          <w:b w:val="0"/>
          <w:i/>
          <w:color w:val="auto"/>
          <w:sz w:val="24"/>
          <w:szCs w:val="24"/>
        </w:rPr>
        <w:fldChar w:fldCharType="end"/>
      </w:r>
      <w:r w:rsidRPr="002243FF">
        <w:rPr>
          <w:b w:val="0"/>
          <w:i/>
          <w:color w:val="auto"/>
          <w:sz w:val="24"/>
          <w:szCs w:val="24"/>
        </w:rPr>
        <w:t>: Series of Consumer</w:t>
      </w:r>
      <w:r w:rsidRPr="002243FF">
        <w:rPr>
          <w:b w:val="0"/>
          <w:i/>
          <w:noProof/>
          <w:color w:val="auto"/>
          <w:sz w:val="24"/>
          <w:szCs w:val="24"/>
        </w:rPr>
        <w:t xml:space="preserve"> Indicator</w:t>
      </w:r>
      <w:r>
        <w:rPr>
          <w:b w:val="0"/>
          <w:i/>
          <w:noProof/>
          <w:color w:val="auto"/>
          <w:sz w:val="24"/>
          <w:szCs w:val="24"/>
        </w:rPr>
        <w:t>s for the Norwegian versus Swedish Economies</w:t>
      </w:r>
    </w:p>
    <w:p w:rsidR="00D256FA" w:rsidRDefault="000A1CA6" w:rsidP="001E4EE4">
      <w:pPr>
        <w:spacing w:line="480" w:lineRule="auto"/>
        <w:ind w:firstLine="720"/>
      </w:pPr>
      <w:r>
        <w:rPr>
          <w:noProof/>
        </w:rPr>
        <w:drawing>
          <wp:inline distT="0" distB="0" distL="0" distR="0">
            <wp:extent cx="5486400" cy="32004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243FF" w:rsidRDefault="002243FF" w:rsidP="001E4EE4">
      <w:pPr>
        <w:spacing w:line="480" w:lineRule="auto"/>
        <w:ind w:firstLine="720"/>
      </w:pPr>
      <w:r>
        <w:t>(Source:</w:t>
      </w:r>
      <w:r w:rsidR="00F17D23">
        <w:t xml:space="preserve"> </w:t>
      </w:r>
      <w:r w:rsidR="00F17D23">
        <w:rPr>
          <w:noProof/>
        </w:rPr>
        <w:t>Focus-Economics, 2019</w:t>
      </w:r>
      <w:r>
        <w:t>)</w:t>
      </w:r>
    </w:p>
    <w:p w:rsidR="00B2575D" w:rsidRPr="00B2575D" w:rsidRDefault="00B2575D" w:rsidP="00B2575D">
      <w:pPr>
        <w:spacing w:line="480" w:lineRule="auto"/>
        <w:ind w:firstLine="720"/>
      </w:pPr>
      <w:bookmarkStart w:id="4" w:name="_Toc26150091"/>
      <w:r w:rsidRPr="00B2575D">
        <w:t xml:space="preserve">Moreover, changes in consumers’ economic indicators disseminate the competitiveness of an investment destination. The consumers' groups represent the end-user of the services that </w:t>
      </w:r>
      <w:r w:rsidRPr="00B2575D">
        <w:lastRenderedPageBreak/>
        <w:t>an entrepreneur strives to introduce to the market. Therefore, competitive consumer indicators provide an impetus to venture into the market because of the guaranteed revenue generation. Table 4 above disseminate of the cadres of consumer variables that influence the viability of Sweden vis-à-vis Norway as a potential destination for the Chipotle Mexican Grill. The superior saving rate and consumer confidence index in Sweden provide an attractive market for Chipotle. The high saving power and consumer confidence have led to relatively superior household consumption and retail sales index in Sweden. The Swedish consumers are willing to consume more of the retail commodities, which include the restaurant services because of their superior saving index. Therefore, a decision to favor Sweden as an attractive destination for the Chipotle is an evidence-based endeavor that will accord the business fundamental competitive edge.</w:t>
      </w:r>
    </w:p>
    <w:p w:rsidR="00E0237F" w:rsidRPr="00611C19" w:rsidRDefault="00E0237F" w:rsidP="00611C19">
      <w:pPr>
        <w:spacing w:line="480" w:lineRule="auto"/>
        <w:rPr>
          <w:i/>
        </w:rPr>
      </w:pPr>
      <w:r w:rsidRPr="00611C19">
        <w:rPr>
          <w:i/>
        </w:rPr>
        <w:t>4.2. Brief Summary of Financial Conditions</w:t>
      </w:r>
      <w:bookmarkEnd w:id="4"/>
      <w:r w:rsidRPr="00611C19">
        <w:rPr>
          <w:i/>
        </w:rPr>
        <w:t xml:space="preserve"> </w:t>
      </w:r>
    </w:p>
    <w:p w:rsidR="00777820" w:rsidRPr="00E8445C" w:rsidRDefault="00144035" w:rsidP="00E8445C">
      <w:pPr>
        <w:pStyle w:val="Caption"/>
        <w:keepNext/>
        <w:spacing w:line="480" w:lineRule="auto"/>
        <w:rPr>
          <w:b w:val="0"/>
          <w:color w:val="auto"/>
          <w:sz w:val="24"/>
          <w:szCs w:val="24"/>
        </w:rPr>
      </w:pPr>
      <w:r w:rsidRPr="00E8445C">
        <w:rPr>
          <w:b w:val="0"/>
          <w:color w:val="auto"/>
          <w:sz w:val="24"/>
          <w:szCs w:val="24"/>
        </w:rPr>
        <w:lastRenderedPageBreak/>
        <w:tab/>
        <w:t xml:space="preserve">Financial conditions enhance the attractiveness of a nation to the foreign entities. Three key indicators of financial competitiveness are the taxation measure used, amount of foreign exchange reserves, and interest rate. Taxation create revenue for a government. However, unattractive tax rates create an impediment for the foreign entities to venture in a country. Moreover, low interest rate results in affordable loans from the commercial bank, which attract more foreign ventures and spurs local industry growth. </w:t>
      </w:r>
    </w:p>
    <w:p w:rsidR="0023336B" w:rsidRPr="0090158D" w:rsidRDefault="0023336B" w:rsidP="0023336B">
      <w:pPr>
        <w:pStyle w:val="Caption"/>
        <w:keepNext/>
        <w:rPr>
          <w:b w:val="0"/>
          <w:i/>
          <w:color w:val="auto"/>
          <w:sz w:val="24"/>
          <w:szCs w:val="24"/>
        </w:rPr>
      </w:pPr>
      <w:r w:rsidRPr="0090158D">
        <w:rPr>
          <w:b w:val="0"/>
          <w:i/>
          <w:color w:val="auto"/>
          <w:sz w:val="24"/>
          <w:szCs w:val="24"/>
        </w:rPr>
        <w:t xml:space="preserve">Table </w:t>
      </w:r>
      <w:r w:rsidRPr="0090158D">
        <w:rPr>
          <w:b w:val="0"/>
          <w:i/>
          <w:color w:val="auto"/>
          <w:sz w:val="24"/>
          <w:szCs w:val="24"/>
        </w:rPr>
        <w:fldChar w:fldCharType="begin"/>
      </w:r>
      <w:r w:rsidRPr="0090158D">
        <w:rPr>
          <w:b w:val="0"/>
          <w:i/>
          <w:color w:val="auto"/>
          <w:sz w:val="24"/>
          <w:szCs w:val="24"/>
        </w:rPr>
        <w:instrText xml:space="preserve"> SEQ Table \* ARABIC </w:instrText>
      </w:r>
      <w:r w:rsidRPr="0090158D">
        <w:rPr>
          <w:b w:val="0"/>
          <w:i/>
          <w:color w:val="auto"/>
          <w:sz w:val="24"/>
          <w:szCs w:val="24"/>
        </w:rPr>
        <w:fldChar w:fldCharType="separate"/>
      </w:r>
      <w:r w:rsidR="00687726">
        <w:rPr>
          <w:b w:val="0"/>
          <w:i/>
          <w:noProof/>
          <w:color w:val="auto"/>
          <w:sz w:val="24"/>
          <w:szCs w:val="24"/>
        </w:rPr>
        <w:t>5</w:t>
      </w:r>
      <w:r w:rsidRPr="0090158D">
        <w:rPr>
          <w:b w:val="0"/>
          <w:i/>
          <w:color w:val="auto"/>
          <w:sz w:val="24"/>
          <w:szCs w:val="24"/>
        </w:rPr>
        <w:fldChar w:fldCharType="end"/>
      </w:r>
      <w:r w:rsidRPr="0090158D">
        <w:rPr>
          <w:b w:val="0"/>
          <w:i/>
          <w:color w:val="auto"/>
          <w:sz w:val="24"/>
          <w:szCs w:val="24"/>
        </w:rPr>
        <w:t xml:space="preserve">: Taxation Regimes in Sweden </w:t>
      </w:r>
      <w:r w:rsidR="0090158D" w:rsidRPr="0090158D">
        <w:rPr>
          <w:b w:val="0"/>
          <w:i/>
          <w:color w:val="auto"/>
          <w:sz w:val="24"/>
          <w:szCs w:val="24"/>
        </w:rPr>
        <w:t>vs.</w:t>
      </w:r>
      <w:r w:rsidRPr="0090158D">
        <w:rPr>
          <w:b w:val="0"/>
          <w:i/>
          <w:color w:val="auto"/>
          <w:sz w:val="24"/>
          <w:szCs w:val="24"/>
        </w:rPr>
        <w:t xml:space="preserve"> in Norway</w:t>
      </w:r>
    </w:p>
    <w:p w:rsidR="002A7575" w:rsidRDefault="007510FE" w:rsidP="00F92174">
      <w:pPr>
        <w:spacing w:line="480" w:lineRule="auto"/>
      </w:pPr>
      <w:r>
        <w:rPr>
          <w:noProof/>
        </w:rPr>
        <w:drawing>
          <wp:inline distT="0" distB="0" distL="0" distR="0">
            <wp:extent cx="5486400" cy="3200400"/>
            <wp:effectExtent l="0" t="0" r="1905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3336B" w:rsidRDefault="0023336B" w:rsidP="00F92174">
      <w:pPr>
        <w:spacing w:line="480" w:lineRule="auto"/>
      </w:pPr>
      <w:r>
        <w:t>(Source: World Bank, 2019)</w:t>
      </w:r>
    </w:p>
    <w:p w:rsidR="00B2575D" w:rsidRDefault="00B74916" w:rsidP="00B2575D">
      <w:pPr>
        <w:pStyle w:val="NormalWeb"/>
        <w:spacing w:before="0" w:beforeAutospacing="0" w:after="0" w:afterAutospacing="0" w:line="480" w:lineRule="auto"/>
        <w:rPr>
          <w:color w:val="1C1E29"/>
        </w:rPr>
      </w:pPr>
      <w:r>
        <w:tab/>
      </w:r>
      <w:r w:rsidR="00B2575D">
        <w:rPr>
          <w:color w:val="1C1E29"/>
        </w:rPr>
        <w:t xml:space="preserve">Governments across the globe utilize taxation on various businesses and consumers to generate revenue. The taxation strategy used influences the competitiveness of a country as a preferred destination for investment. High tax rates hamper the attractiveness of a country because corporate entities and individuals are rational in their quest to maximize their income. The Nordic countries maximize four core types of taxes that include the corporate tax, personal income, sale tax, and social security rate. Importantly, foreign investors pay attention to the rate </w:t>
      </w:r>
      <w:r w:rsidR="00B2575D">
        <w:rPr>
          <w:color w:val="1C1E29"/>
        </w:rPr>
        <w:lastRenderedPageBreak/>
        <w:t>of corporate tax because it is deducted from the net income generated. A Sale tax is another strategic taxation measure that influences the competitiveness of a country. Chipotle Mexican Grill also needs to evaluate the rate of personal income tax because it influences the attractiveness of the expatriates. A decision to open a store in a Nordic region requires Chipotle to relocate some of the human resources to harness the organization's culture dimensions in the new location. However, the expatriates will need to consider the caliber of the personal income tax regime in the new country. Therefore, the pertinent concerns of the Chipotle and expatriates influence the attractiveness of either Sweden or Norway.</w:t>
      </w:r>
    </w:p>
    <w:p w:rsidR="00B2575D" w:rsidRDefault="00B2575D" w:rsidP="00B2575D">
      <w:pPr>
        <w:pStyle w:val="NormalWeb"/>
        <w:spacing w:before="0" w:beforeAutospacing="0" w:after="0" w:afterAutospacing="0" w:line="480" w:lineRule="auto"/>
        <w:rPr>
          <w:color w:val="1C1E29"/>
        </w:rPr>
      </w:pPr>
      <w:r>
        <w:rPr>
          <w:color w:val="1C1E29"/>
        </w:rPr>
        <w:t>Table 5 reveals the level of attractiveness of the two nations is par from a corporate standpoint. The two countries charge an equal </w:t>
      </w:r>
      <w:r>
        <w:rPr>
          <w:rStyle w:val="Strong"/>
          <w:color w:val="1C1E29"/>
        </w:rPr>
        <w:t>22% </w:t>
      </w:r>
      <w:r>
        <w:rPr>
          <w:color w:val="1C1E29"/>
        </w:rPr>
        <w:t>of the corporate tax and </w:t>
      </w:r>
      <w:r>
        <w:rPr>
          <w:rStyle w:val="Strong"/>
          <w:color w:val="1C1E29"/>
        </w:rPr>
        <w:t>25%</w:t>
      </w:r>
      <w:r>
        <w:rPr>
          <w:color w:val="1C1E29"/>
        </w:rPr>
        <w:t> of the sale tax (World Bank, 2019). However, the Norwegian personal income tax regime is attractive to the Chipotle’ expatriates because it charges </w:t>
      </w:r>
      <w:r>
        <w:rPr>
          <w:rStyle w:val="Strong"/>
          <w:color w:val="1C1E29"/>
        </w:rPr>
        <w:t>38%</w:t>
      </w:r>
      <w:r>
        <w:rPr>
          <w:color w:val="1C1E29"/>
        </w:rPr>
        <w:t> compared to the </w:t>
      </w:r>
      <w:r>
        <w:rPr>
          <w:rStyle w:val="Strong"/>
          <w:color w:val="1C1E29"/>
        </w:rPr>
        <w:t>58%</w:t>
      </w:r>
      <w:r>
        <w:rPr>
          <w:color w:val="1C1E29"/>
        </w:rPr>
        <w:t> levied in Sweden (ibid). The lower security rates for employee charges in Sweden help to alleviate the inadequacies apparent in the personal income taxation. Overall, Chipotle should settle for the Swedish taxation process because of long-term benefits that include saving on expenditures.</w:t>
      </w:r>
    </w:p>
    <w:p w:rsidR="00B2295B" w:rsidRPr="00D728E3" w:rsidRDefault="00B2295B" w:rsidP="00B2575D">
      <w:pPr>
        <w:spacing w:line="480" w:lineRule="auto"/>
      </w:pPr>
      <w:r>
        <w:t xml:space="preserve"> </w:t>
      </w:r>
    </w:p>
    <w:p w:rsidR="000D6032" w:rsidRPr="000D6032" w:rsidRDefault="000D6032" w:rsidP="000D6032">
      <w:pPr>
        <w:pStyle w:val="Caption"/>
        <w:keepNext/>
        <w:rPr>
          <w:b w:val="0"/>
          <w:i/>
          <w:color w:val="auto"/>
          <w:sz w:val="24"/>
          <w:szCs w:val="24"/>
        </w:rPr>
      </w:pPr>
      <w:r w:rsidRPr="000D6032">
        <w:rPr>
          <w:b w:val="0"/>
          <w:i/>
          <w:color w:val="auto"/>
          <w:sz w:val="24"/>
          <w:szCs w:val="24"/>
        </w:rPr>
        <w:lastRenderedPageBreak/>
        <w:t xml:space="preserve">Table </w:t>
      </w:r>
      <w:r w:rsidRPr="000D6032">
        <w:rPr>
          <w:b w:val="0"/>
          <w:i/>
          <w:color w:val="auto"/>
          <w:sz w:val="24"/>
          <w:szCs w:val="24"/>
        </w:rPr>
        <w:fldChar w:fldCharType="begin"/>
      </w:r>
      <w:r w:rsidRPr="000D6032">
        <w:rPr>
          <w:b w:val="0"/>
          <w:i/>
          <w:color w:val="auto"/>
          <w:sz w:val="24"/>
          <w:szCs w:val="24"/>
        </w:rPr>
        <w:instrText xml:space="preserve"> SEQ Table \* ARABIC </w:instrText>
      </w:r>
      <w:r w:rsidRPr="000D6032">
        <w:rPr>
          <w:b w:val="0"/>
          <w:i/>
          <w:color w:val="auto"/>
          <w:sz w:val="24"/>
          <w:szCs w:val="24"/>
        </w:rPr>
        <w:fldChar w:fldCharType="separate"/>
      </w:r>
      <w:r w:rsidR="00687726">
        <w:rPr>
          <w:b w:val="0"/>
          <w:i/>
          <w:noProof/>
          <w:color w:val="auto"/>
          <w:sz w:val="24"/>
          <w:szCs w:val="24"/>
        </w:rPr>
        <w:t>6</w:t>
      </w:r>
      <w:r w:rsidRPr="000D6032">
        <w:rPr>
          <w:b w:val="0"/>
          <w:i/>
          <w:color w:val="auto"/>
          <w:sz w:val="24"/>
          <w:szCs w:val="24"/>
        </w:rPr>
        <w:fldChar w:fldCharType="end"/>
      </w:r>
      <w:r w:rsidRPr="000D6032">
        <w:rPr>
          <w:b w:val="0"/>
          <w:i/>
          <w:color w:val="auto"/>
          <w:sz w:val="24"/>
          <w:szCs w:val="24"/>
        </w:rPr>
        <w:t>: Compariso</w:t>
      </w:r>
      <w:r w:rsidR="00314491">
        <w:rPr>
          <w:b w:val="0"/>
          <w:i/>
          <w:color w:val="auto"/>
          <w:sz w:val="24"/>
          <w:szCs w:val="24"/>
        </w:rPr>
        <w:t>n of interest rate for</w:t>
      </w:r>
      <w:r w:rsidRPr="000D6032">
        <w:rPr>
          <w:b w:val="0"/>
          <w:i/>
          <w:color w:val="auto"/>
          <w:sz w:val="24"/>
          <w:szCs w:val="24"/>
        </w:rPr>
        <w:t xml:space="preserve"> Norway and Sweden</w:t>
      </w:r>
    </w:p>
    <w:p w:rsidR="00B2295B" w:rsidRDefault="002C4EE2" w:rsidP="00F92174">
      <w:pPr>
        <w:spacing w:line="480" w:lineRule="auto"/>
      </w:pPr>
      <w:r>
        <w:rPr>
          <w:noProof/>
        </w:rPr>
        <w:drawing>
          <wp:inline distT="0" distB="0" distL="0" distR="0">
            <wp:extent cx="6153150" cy="310515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14491" w:rsidRDefault="00314491" w:rsidP="00F92174">
      <w:pPr>
        <w:spacing w:line="480" w:lineRule="auto"/>
      </w:pPr>
      <w:r>
        <w:t>(Source: World Bank, 2019;</w:t>
      </w:r>
      <w:r w:rsidR="00A46DAB">
        <w:t xml:space="preserve"> </w:t>
      </w:r>
      <w:r>
        <w:rPr>
          <w:noProof/>
        </w:rPr>
        <w:t>Focus-Economics, 2019</w:t>
      </w:r>
      <w:r>
        <w:t>)</w:t>
      </w:r>
    </w:p>
    <w:p w:rsidR="0056501F" w:rsidRDefault="009E5616" w:rsidP="00F92174">
      <w:pPr>
        <w:spacing w:line="480" w:lineRule="auto"/>
      </w:pPr>
      <w:r>
        <w:tab/>
      </w:r>
      <w:r w:rsidR="00B2575D">
        <w:t>Besides taxation, the prevailing interest rate represents a critical financial indicator in a country because it influences the ease and cost of acquiring funds. The Central (Federal) Bank is the institution tasked to review the prevailing interest rates and adjust accordingly. The Sweden Central Bank proposed to maintain the interest rate unchanged for the last three years at </w:t>
      </w:r>
      <w:r w:rsidR="00B2575D">
        <w:rPr>
          <w:rStyle w:val="Strong"/>
          <w:color w:val="1C1E29"/>
        </w:rPr>
        <w:t>-0.25%, </w:t>
      </w:r>
      <w:r w:rsidR="00B2575D">
        <w:t xml:space="preserve">which aimed to spurs economic growth using affordable commercial loans and reduce inflationary trends in the economy. Low-interest rates are effective incentives for increased investment because of the availability of affordable funds from the commercial bank. Availing more funds to the business fraternity increases the outflow of cash in the economy. Table 6 above demonstrates the relative attractiveness of the Swedish financial environment than its counterpart Norway because of the low-interest rates. Investors in Sweden have access to competitive loans from commercial banks. Consequently, Chipotle should prefer Sweden as a </w:t>
      </w:r>
      <w:r w:rsidR="00B2575D">
        <w:lastRenderedPageBreak/>
        <w:t>Nordic investment option because access to competitive funds can harness continuous innovations and spur growth in the new market.</w:t>
      </w:r>
      <w:r w:rsidR="0056501F">
        <w:t xml:space="preserve"> </w:t>
      </w:r>
    </w:p>
    <w:p w:rsidR="004E7CE9" w:rsidRPr="004E7CE9" w:rsidRDefault="004E7CE9" w:rsidP="004E7CE9">
      <w:pPr>
        <w:pStyle w:val="Caption"/>
        <w:keepNext/>
        <w:rPr>
          <w:b w:val="0"/>
          <w:i/>
          <w:color w:val="auto"/>
          <w:sz w:val="24"/>
          <w:szCs w:val="24"/>
        </w:rPr>
      </w:pPr>
      <w:r w:rsidRPr="004E7CE9">
        <w:rPr>
          <w:b w:val="0"/>
          <w:i/>
          <w:color w:val="auto"/>
          <w:sz w:val="24"/>
          <w:szCs w:val="24"/>
        </w:rPr>
        <w:t xml:space="preserve">Table </w:t>
      </w:r>
      <w:r w:rsidRPr="004E7CE9">
        <w:rPr>
          <w:b w:val="0"/>
          <w:i/>
          <w:color w:val="auto"/>
          <w:sz w:val="24"/>
          <w:szCs w:val="24"/>
        </w:rPr>
        <w:fldChar w:fldCharType="begin"/>
      </w:r>
      <w:r w:rsidRPr="004E7CE9">
        <w:rPr>
          <w:b w:val="0"/>
          <w:i/>
          <w:color w:val="auto"/>
          <w:sz w:val="24"/>
          <w:szCs w:val="24"/>
        </w:rPr>
        <w:instrText xml:space="preserve"> SEQ Table \* ARABIC </w:instrText>
      </w:r>
      <w:r w:rsidRPr="004E7CE9">
        <w:rPr>
          <w:b w:val="0"/>
          <w:i/>
          <w:color w:val="auto"/>
          <w:sz w:val="24"/>
          <w:szCs w:val="24"/>
        </w:rPr>
        <w:fldChar w:fldCharType="separate"/>
      </w:r>
      <w:r w:rsidR="00687726">
        <w:rPr>
          <w:b w:val="0"/>
          <w:i/>
          <w:noProof/>
          <w:color w:val="auto"/>
          <w:sz w:val="24"/>
          <w:szCs w:val="24"/>
        </w:rPr>
        <w:t>7</w:t>
      </w:r>
      <w:r w:rsidRPr="004E7CE9">
        <w:rPr>
          <w:b w:val="0"/>
          <w:i/>
          <w:color w:val="auto"/>
          <w:sz w:val="24"/>
          <w:szCs w:val="24"/>
        </w:rPr>
        <w:fldChar w:fldCharType="end"/>
      </w:r>
      <w:r w:rsidRPr="004E7CE9">
        <w:rPr>
          <w:b w:val="0"/>
          <w:i/>
          <w:color w:val="auto"/>
          <w:sz w:val="24"/>
          <w:szCs w:val="24"/>
        </w:rPr>
        <w:t>: Comparison of Foreign Exchange Reserves</w:t>
      </w:r>
    </w:p>
    <w:p w:rsidR="0056501F" w:rsidRDefault="0084594C" w:rsidP="00F92174">
      <w:pPr>
        <w:spacing w:line="480" w:lineRule="auto"/>
      </w:pPr>
      <w:r>
        <w:rPr>
          <w:noProof/>
        </w:rPr>
        <w:drawing>
          <wp:inline distT="0" distB="0" distL="0" distR="0">
            <wp:extent cx="5486400" cy="320040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E7CE9" w:rsidRDefault="004E7CE9" w:rsidP="00F92174">
      <w:pPr>
        <w:spacing w:line="480" w:lineRule="auto"/>
      </w:pPr>
      <w:r>
        <w:rPr>
          <w:noProof/>
        </w:rPr>
        <w:t xml:space="preserve"> (Source: World Bank, 2019; Focus-Economics, 2019)</w:t>
      </w:r>
    </w:p>
    <w:p w:rsidR="00B2575D" w:rsidRDefault="004E7CE9" w:rsidP="00B2575D">
      <w:pPr>
        <w:pStyle w:val="NormalWeb"/>
        <w:spacing w:before="0" w:beforeAutospacing="0" w:after="0" w:afterAutospacing="0" w:line="480" w:lineRule="auto"/>
        <w:rPr>
          <w:color w:val="1C1E29"/>
        </w:rPr>
      </w:pPr>
      <w:r>
        <w:tab/>
      </w:r>
      <w:r w:rsidR="00B2575D">
        <w:rPr>
          <w:color w:val="1C1E29"/>
        </w:rPr>
        <w:t>The level of foreign exchange reserves in a country facilitates the effectiveness of international commerce. The foreign exchange reserves include currencies of other countries, assets held by the country’s central bank, or market securities held in foreign currency. The multinational entities in foreign countries rely on the existing foreign exchange reserves to facilitate the conversion of currencies. Table 7 reveals Sweden has held more foreign exchange reserves than Norway in the recent period, which helps to increase the amount of money available to the foreign entities within their jurisdiction.</w:t>
      </w:r>
    </w:p>
    <w:p w:rsidR="00B2575D" w:rsidRDefault="00B2575D" w:rsidP="00B2575D">
      <w:pPr>
        <w:pStyle w:val="NormalWeb"/>
        <w:spacing w:before="0" w:beforeAutospacing="0" w:after="0" w:afterAutospacing="0" w:line="480" w:lineRule="auto"/>
        <w:rPr>
          <w:color w:val="1C1E29"/>
        </w:rPr>
      </w:pPr>
      <w:r>
        <w:rPr>
          <w:rStyle w:val="Emphasis"/>
          <w:color w:val="1C1E29"/>
        </w:rPr>
        <w:t>4.3. Economic Data that correlates with the Market Demand for a Product</w:t>
      </w:r>
    </w:p>
    <w:p w:rsidR="00B2575D" w:rsidRDefault="00B2575D" w:rsidP="00B2575D">
      <w:pPr>
        <w:pStyle w:val="NormalWeb"/>
        <w:spacing w:before="0" w:beforeAutospacing="0" w:after="0" w:afterAutospacing="0" w:line="480" w:lineRule="auto"/>
        <w:rPr>
          <w:color w:val="1C1E29"/>
        </w:rPr>
      </w:pPr>
      <w:r>
        <w:rPr>
          <w:color w:val="1C1E29"/>
        </w:rPr>
        <w:t xml:space="preserve">           The labor and price economic data of a nation correlates with the demand for a product. The high unemployment rate exposes a company to dwindling demand because of the </w:t>
      </w:r>
      <w:r>
        <w:rPr>
          <w:color w:val="1C1E29"/>
        </w:rPr>
        <w:lastRenderedPageBreak/>
        <w:t>consumers’ inability to afford healthy food options that attract a premium fee. The unemployment rate has been defined as the ratio of people actively looking for a job to the entire labor force (Focus-Economics, 2019). Countries characterized by a high unemployment rate faces a double-edge knife scenario because of the availability of a relatively lower source of labor, which emanate from the intense competition for the number of unemployed people. On the other hand, an organization struggles to make adequate revenue because of the low purchasing power among the unemployed people. Sweden has twice the rate of the unemployment rate at </w:t>
      </w:r>
      <w:r>
        <w:rPr>
          <w:rStyle w:val="Strong"/>
          <w:color w:val="1C1E29"/>
        </w:rPr>
        <w:t>6.0%</w:t>
      </w:r>
      <w:r>
        <w:rPr>
          <w:color w:val="1C1E29"/>
        </w:rPr>
        <w:t> compared to the</w:t>
      </w:r>
      <w:r>
        <w:rPr>
          <w:rStyle w:val="Strong"/>
          <w:color w:val="1C1E29"/>
        </w:rPr>
        <w:t> 3.9%</w:t>
      </w:r>
      <w:r>
        <w:rPr>
          <w:color w:val="1C1E29"/>
        </w:rPr>
        <w:t xml:space="preserve"> recorded for the year 2019 (ibid). Equally, the prevailing consumer price indices (CPIs) affect the demand of the product in an economy because of the effect on the purchasing power. The CPI represents the weighted average price for the set of commodity goods that forms a common basket. Therefore, </w:t>
      </w:r>
      <w:r>
        <w:rPr>
          <w:color w:val="1C1E29"/>
        </w:rPr>
        <w:t>a high inflation rate in a country indicates a subsequent surge in the CPI and impedes</w:t>
      </w:r>
      <w:r>
        <w:rPr>
          <w:color w:val="1C1E29"/>
        </w:rPr>
        <w:t xml:space="preserve"> the ability to consume the good. The high unemployment rate and CPI hamper the ability of a consumer to purchase the goods, which makes the demand for the commodities low.</w:t>
      </w:r>
    </w:p>
    <w:p w:rsidR="00B2575D" w:rsidRDefault="00B2575D" w:rsidP="00B2575D">
      <w:pPr>
        <w:pStyle w:val="NormalWeb"/>
        <w:spacing w:before="0" w:beforeAutospacing="0" w:after="0" w:afterAutospacing="0" w:line="480" w:lineRule="auto"/>
        <w:ind w:firstLine="720"/>
        <w:rPr>
          <w:color w:val="1C1E29"/>
        </w:rPr>
      </w:pPr>
      <w:r>
        <w:rPr>
          <w:color w:val="1C1E29"/>
        </w:rPr>
        <w:t>Lastly, the changes in producer prices have a direct impact on the demand for the product because increasing prices indicate the high cost of production. The high cost of production compels the producers to hike the current prices of their merchandise that have a negative spillover effect on the attractiveness of the products. Table 8 below summarizes the recent data of the unemployment rate, CPI, and producer prices for the Norway and Sweden economies. Chipotle needs to evaluate the trends of the three indicators before taking a decision on a favorable destination.</w:t>
      </w:r>
    </w:p>
    <w:p w:rsidR="005E0AFA" w:rsidRDefault="005E0AFA" w:rsidP="00B2575D">
      <w:pPr>
        <w:spacing w:line="480" w:lineRule="auto"/>
      </w:pPr>
      <w:r>
        <w:t xml:space="preserve"> </w:t>
      </w:r>
    </w:p>
    <w:p w:rsidR="00687726" w:rsidRPr="00687726" w:rsidRDefault="00687726" w:rsidP="00687726">
      <w:pPr>
        <w:pStyle w:val="Caption"/>
        <w:keepNext/>
        <w:rPr>
          <w:b w:val="0"/>
          <w:i/>
          <w:color w:val="auto"/>
          <w:sz w:val="24"/>
          <w:szCs w:val="24"/>
        </w:rPr>
      </w:pPr>
      <w:r w:rsidRPr="00687726">
        <w:rPr>
          <w:b w:val="0"/>
          <w:i/>
          <w:color w:val="auto"/>
          <w:sz w:val="24"/>
          <w:szCs w:val="24"/>
        </w:rPr>
        <w:lastRenderedPageBreak/>
        <w:t xml:space="preserve">Table </w:t>
      </w:r>
      <w:r w:rsidRPr="00687726">
        <w:rPr>
          <w:b w:val="0"/>
          <w:i/>
          <w:color w:val="auto"/>
          <w:sz w:val="24"/>
          <w:szCs w:val="24"/>
        </w:rPr>
        <w:fldChar w:fldCharType="begin"/>
      </w:r>
      <w:r w:rsidRPr="00687726">
        <w:rPr>
          <w:b w:val="0"/>
          <w:i/>
          <w:color w:val="auto"/>
          <w:sz w:val="24"/>
          <w:szCs w:val="24"/>
        </w:rPr>
        <w:instrText xml:space="preserve"> SEQ Table \* ARABIC </w:instrText>
      </w:r>
      <w:r w:rsidRPr="00687726">
        <w:rPr>
          <w:b w:val="0"/>
          <w:i/>
          <w:color w:val="auto"/>
          <w:sz w:val="24"/>
          <w:szCs w:val="24"/>
        </w:rPr>
        <w:fldChar w:fldCharType="separate"/>
      </w:r>
      <w:r w:rsidRPr="00687726">
        <w:rPr>
          <w:b w:val="0"/>
          <w:i/>
          <w:noProof/>
          <w:color w:val="auto"/>
          <w:sz w:val="24"/>
          <w:szCs w:val="24"/>
        </w:rPr>
        <w:t>8</w:t>
      </w:r>
      <w:r w:rsidRPr="00687726">
        <w:rPr>
          <w:b w:val="0"/>
          <w:i/>
          <w:color w:val="auto"/>
          <w:sz w:val="24"/>
          <w:szCs w:val="24"/>
        </w:rPr>
        <w:fldChar w:fldCharType="end"/>
      </w:r>
      <w:r w:rsidRPr="00687726">
        <w:rPr>
          <w:b w:val="0"/>
          <w:i/>
          <w:color w:val="auto"/>
          <w:sz w:val="24"/>
          <w:szCs w:val="24"/>
        </w:rPr>
        <w:t>: Summary of Economic Data with high Corre</w:t>
      </w:r>
      <w:r>
        <w:rPr>
          <w:b w:val="0"/>
          <w:i/>
          <w:color w:val="auto"/>
          <w:sz w:val="24"/>
          <w:szCs w:val="24"/>
        </w:rPr>
        <w:t>l</w:t>
      </w:r>
      <w:r w:rsidRPr="00687726">
        <w:rPr>
          <w:b w:val="0"/>
          <w:i/>
          <w:color w:val="auto"/>
          <w:sz w:val="24"/>
          <w:szCs w:val="24"/>
        </w:rPr>
        <w:t>ation with Demand for the Products</w:t>
      </w:r>
    </w:p>
    <w:tbl>
      <w:tblPr>
        <w:tblStyle w:val="MediumGrid1-Accent3"/>
        <w:tblW w:w="0" w:type="auto"/>
        <w:tblLook w:val="04A0" w:firstRow="1" w:lastRow="0" w:firstColumn="1" w:lastColumn="0" w:noHBand="0" w:noVBand="1"/>
      </w:tblPr>
      <w:tblGrid>
        <w:gridCol w:w="3192"/>
        <w:gridCol w:w="3192"/>
        <w:gridCol w:w="3192"/>
      </w:tblGrid>
      <w:tr w:rsidR="005E0AFA" w:rsidTr="006877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5E0AFA" w:rsidRDefault="005E0AFA" w:rsidP="00687726">
            <w:pPr>
              <w:spacing w:line="360" w:lineRule="auto"/>
            </w:pPr>
            <w:r>
              <w:t>Economic Parameter</w:t>
            </w:r>
          </w:p>
        </w:tc>
        <w:tc>
          <w:tcPr>
            <w:tcW w:w="3192" w:type="dxa"/>
          </w:tcPr>
          <w:p w:rsidR="005E0AFA" w:rsidRDefault="00687726" w:rsidP="00687726">
            <w:pPr>
              <w:spacing w:line="360" w:lineRule="auto"/>
              <w:cnfStyle w:val="100000000000" w:firstRow="1" w:lastRow="0" w:firstColumn="0" w:lastColumn="0" w:oddVBand="0" w:evenVBand="0" w:oddHBand="0" w:evenHBand="0" w:firstRowFirstColumn="0" w:firstRowLastColumn="0" w:lastRowFirstColumn="0" w:lastRowLastColumn="0"/>
            </w:pPr>
            <w:r>
              <w:t>C</w:t>
            </w:r>
            <w:r w:rsidR="005E0AFA">
              <w:t>ountry</w:t>
            </w:r>
          </w:p>
        </w:tc>
        <w:tc>
          <w:tcPr>
            <w:tcW w:w="3192" w:type="dxa"/>
          </w:tcPr>
          <w:p w:rsidR="005E0AFA" w:rsidRDefault="005E0AFA" w:rsidP="00687726">
            <w:pPr>
              <w:spacing w:line="360" w:lineRule="auto"/>
              <w:cnfStyle w:val="100000000000" w:firstRow="1" w:lastRow="0" w:firstColumn="0" w:lastColumn="0" w:oddVBand="0" w:evenVBand="0" w:oddHBand="0" w:evenHBand="0" w:firstRowFirstColumn="0" w:firstRowLastColumn="0" w:lastRowFirstColumn="0" w:lastRowLastColumn="0"/>
            </w:pPr>
            <w:r>
              <w:t>Rate</w:t>
            </w:r>
          </w:p>
        </w:tc>
      </w:tr>
      <w:tr w:rsidR="005E0AFA" w:rsidTr="006877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val="restart"/>
          </w:tcPr>
          <w:p w:rsidR="005E0AFA" w:rsidRDefault="005E0AFA" w:rsidP="00687726">
            <w:pPr>
              <w:pStyle w:val="ListParagraph"/>
              <w:numPr>
                <w:ilvl w:val="0"/>
                <w:numId w:val="5"/>
              </w:numPr>
              <w:spacing w:line="360" w:lineRule="auto"/>
            </w:pPr>
            <w:r>
              <w:t>Unemployment Rate</w:t>
            </w:r>
          </w:p>
        </w:tc>
        <w:tc>
          <w:tcPr>
            <w:tcW w:w="3192" w:type="dxa"/>
          </w:tcPr>
          <w:p w:rsidR="005E0AFA" w:rsidRDefault="005E0AFA" w:rsidP="00687726">
            <w:pPr>
              <w:spacing w:line="360" w:lineRule="auto"/>
              <w:cnfStyle w:val="000000100000" w:firstRow="0" w:lastRow="0" w:firstColumn="0" w:lastColumn="0" w:oddVBand="0" w:evenVBand="0" w:oddHBand="1" w:evenHBand="0" w:firstRowFirstColumn="0" w:firstRowLastColumn="0" w:lastRowFirstColumn="0" w:lastRowLastColumn="0"/>
            </w:pPr>
            <w:r>
              <w:t>Norway</w:t>
            </w:r>
          </w:p>
        </w:tc>
        <w:tc>
          <w:tcPr>
            <w:tcW w:w="3192" w:type="dxa"/>
          </w:tcPr>
          <w:p w:rsidR="005E0AFA" w:rsidRDefault="005E0AFA" w:rsidP="00687726">
            <w:pPr>
              <w:spacing w:line="360" w:lineRule="auto"/>
              <w:cnfStyle w:val="000000100000" w:firstRow="0" w:lastRow="0" w:firstColumn="0" w:lastColumn="0" w:oddVBand="0" w:evenVBand="0" w:oddHBand="1" w:evenHBand="0" w:firstRowFirstColumn="0" w:firstRowLastColumn="0" w:lastRowFirstColumn="0" w:lastRowLastColumn="0"/>
            </w:pPr>
            <w:r>
              <w:t>3.9%</w:t>
            </w:r>
          </w:p>
        </w:tc>
      </w:tr>
      <w:tr w:rsidR="005E0AFA" w:rsidTr="00687726">
        <w:tc>
          <w:tcPr>
            <w:cnfStyle w:val="001000000000" w:firstRow="0" w:lastRow="0" w:firstColumn="1" w:lastColumn="0" w:oddVBand="0" w:evenVBand="0" w:oddHBand="0" w:evenHBand="0" w:firstRowFirstColumn="0" w:firstRowLastColumn="0" w:lastRowFirstColumn="0" w:lastRowLastColumn="0"/>
            <w:tcW w:w="3192" w:type="dxa"/>
            <w:vMerge/>
          </w:tcPr>
          <w:p w:rsidR="005E0AFA" w:rsidRDefault="005E0AFA" w:rsidP="00687726">
            <w:pPr>
              <w:spacing w:line="360" w:lineRule="auto"/>
            </w:pPr>
          </w:p>
        </w:tc>
        <w:tc>
          <w:tcPr>
            <w:tcW w:w="3192" w:type="dxa"/>
          </w:tcPr>
          <w:p w:rsidR="005E0AFA" w:rsidRDefault="005E0AFA" w:rsidP="00687726">
            <w:pPr>
              <w:spacing w:line="360" w:lineRule="auto"/>
              <w:cnfStyle w:val="000000000000" w:firstRow="0" w:lastRow="0" w:firstColumn="0" w:lastColumn="0" w:oddVBand="0" w:evenVBand="0" w:oddHBand="0" w:evenHBand="0" w:firstRowFirstColumn="0" w:firstRowLastColumn="0" w:lastRowFirstColumn="0" w:lastRowLastColumn="0"/>
            </w:pPr>
            <w:r>
              <w:t>Sweden</w:t>
            </w:r>
          </w:p>
        </w:tc>
        <w:tc>
          <w:tcPr>
            <w:tcW w:w="3192" w:type="dxa"/>
          </w:tcPr>
          <w:p w:rsidR="005E0AFA" w:rsidRDefault="005E0AFA" w:rsidP="00687726">
            <w:pPr>
              <w:spacing w:line="360" w:lineRule="auto"/>
              <w:cnfStyle w:val="000000000000" w:firstRow="0" w:lastRow="0" w:firstColumn="0" w:lastColumn="0" w:oddVBand="0" w:evenVBand="0" w:oddHBand="0" w:evenHBand="0" w:firstRowFirstColumn="0" w:firstRowLastColumn="0" w:lastRowFirstColumn="0" w:lastRowLastColumn="0"/>
            </w:pPr>
            <w:r>
              <w:t>6.0%</w:t>
            </w:r>
          </w:p>
        </w:tc>
      </w:tr>
      <w:tr w:rsidR="005E0AFA" w:rsidTr="006877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val="restart"/>
          </w:tcPr>
          <w:p w:rsidR="005E0AFA" w:rsidRDefault="005E0AFA" w:rsidP="00687726">
            <w:pPr>
              <w:pStyle w:val="ListParagraph"/>
              <w:numPr>
                <w:ilvl w:val="0"/>
                <w:numId w:val="5"/>
              </w:numPr>
              <w:spacing w:line="360" w:lineRule="auto"/>
            </w:pPr>
            <w:r>
              <w:t xml:space="preserve"> CPI/Inflation Rate</w:t>
            </w:r>
          </w:p>
        </w:tc>
        <w:tc>
          <w:tcPr>
            <w:tcW w:w="3192" w:type="dxa"/>
          </w:tcPr>
          <w:p w:rsidR="005E0AFA" w:rsidRDefault="005E0AFA" w:rsidP="00687726">
            <w:pPr>
              <w:spacing w:line="360" w:lineRule="auto"/>
              <w:cnfStyle w:val="000000100000" w:firstRow="0" w:lastRow="0" w:firstColumn="0" w:lastColumn="0" w:oddVBand="0" w:evenVBand="0" w:oddHBand="1" w:evenHBand="0" w:firstRowFirstColumn="0" w:firstRowLastColumn="0" w:lastRowFirstColumn="0" w:lastRowLastColumn="0"/>
            </w:pPr>
            <w:r>
              <w:t>Norway</w:t>
            </w:r>
          </w:p>
        </w:tc>
        <w:tc>
          <w:tcPr>
            <w:tcW w:w="3192" w:type="dxa"/>
          </w:tcPr>
          <w:p w:rsidR="005E0AFA" w:rsidRDefault="005E0AFA" w:rsidP="00687726">
            <w:pPr>
              <w:spacing w:line="360" w:lineRule="auto"/>
              <w:cnfStyle w:val="000000100000" w:firstRow="0" w:lastRow="0" w:firstColumn="0" w:lastColumn="0" w:oddVBand="0" w:evenVBand="0" w:oddHBand="1" w:evenHBand="0" w:firstRowFirstColumn="0" w:firstRowLastColumn="0" w:lastRowFirstColumn="0" w:lastRowLastColumn="0"/>
            </w:pPr>
            <w:r>
              <w:t>NOK 111.30</w:t>
            </w:r>
          </w:p>
        </w:tc>
      </w:tr>
      <w:tr w:rsidR="005E0AFA" w:rsidTr="00687726">
        <w:tc>
          <w:tcPr>
            <w:cnfStyle w:val="001000000000" w:firstRow="0" w:lastRow="0" w:firstColumn="1" w:lastColumn="0" w:oddVBand="0" w:evenVBand="0" w:oddHBand="0" w:evenHBand="0" w:firstRowFirstColumn="0" w:firstRowLastColumn="0" w:lastRowFirstColumn="0" w:lastRowLastColumn="0"/>
            <w:tcW w:w="3192" w:type="dxa"/>
            <w:vMerge/>
          </w:tcPr>
          <w:p w:rsidR="005E0AFA" w:rsidRDefault="005E0AFA" w:rsidP="00687726">
            <w:pPr>
              <w:spacing w:line="360" w:lineRule="auto"/>
            </w:pPr>
          </w:p>
        </w:tc>
        <w:tc>
          <w:tcPr>
            <w:tcW w:w="3192" w:type="dxa"/>
          </w:tcPr>
          <w:p w:rsidR="005E0AFA" w:rsidRDefault="005E0AFA" w:rsidP="00687726">
            <w:pPr>
              <w:spacing w:line="360" w:lineRule="auto"/>
              <w:cnfStyle w:val="000000000000" w:firstRow="0" w:lastRow="0" w:firstColumn="0" w:lastColumn="0" w:oddVBand="0" w:evenVBand="0" w:oddHBand="0" w:evenHBand="0" w:firstRowFirstColumn="0" w:firstRowLastColumn="0" w:lastRowFirstColumn="0" w:lastRowLastColumn="0"/>
            </w:pPr>
            <w:r>
              <w:t>Sweden</w:t>
            </w:r>
          </w:p>
        </w:tc>
        <w:tc>
          <w:tcPr>
            <w:tcW w:w="3192" w:type="dxa"/>
          </w:tcPr>
          <w:p w:rsidR="005E0AFA" w:rsidRDefault="005E0AFA" w:rsidP="00687726">
            <w:pPr>
              <w:spacing w:line="360" w:lineRule="auto"/>
              <w:cnfStyle w:val="000000000000" w:firstRow="0" w:lastRow="0" w:firstColumn="0" w:lastColumn="0" w:oddVBand="0" w:evenVBand="0" w:oddHBand="0" w:evenHBand="0" w:firstRowFirstColumn="0" w:firstRowLastColumn="0" w:lastRowFirstColumn="0" w:lastRowLastColumn="0"/>
            </w:pPr>
            <w:r>
              <w:t>SEK 336.04</w:t>
            </w:r>
          </w:p>
        </w:tc>
      </w:tr>
      <w:tr w:rsidR="005E0AFA" w:rsidTr="006877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val="restart"/>
          </w:tcPr>
          <w:p w:rsidR="005E0AFA" w:rsidRDefault="005E0AFA" w:rsidP="00687726">
            <w:pPr>
              <w:pStyle w:val="ListParagraph"/>
              <w:numPr>
                <w:ilvl w:val="0"/>
                <w:numId w:val="5"/>
              </w:numPr>
              <w:spacing w:line="360" w:lineRule="auto"/>
            </w:pPr>
            <w:r>
              <w:t>Producer Prices</w:t>
            </w:r>
          </w:p>
        </w:tc>
        <w:tc>
          <w:tcPr>
            <w:tcW w:w="3192" w:type="dxa"/>
          </w:tcPr>
          <w:p w:rsidR="005E0AFA" w:rsidRDefault="005E0AFA" w:rsidP="00687726">
            <w:pPr>
              <w:spacing w:line="360" w:lineRule="auto"/>
              <w:cnfStyle w:val="000000100000" w:firstRow="0" w:lastRow="0" w:firstColumn="0" w:lastColumn="0" w:oddVBand="0" w:evenVBand="0" w:oddHBand="1" w:evenHBand="0" w:firstRowFirstColumn="0" w:firstRowLastColumn="0" w:lastRowFirstColumn="0" w:lastRowLastColumn="0"/>
            </w:pPr>
            <w:r>
              <w:t>Norway</w:t>
            </w:r>
          </w:p>
        </w:tc>
        <w:tc>
          <w:tcPr>
            <w:tcW w:w="3192" w:type="dxa"/>
          </w:tcPr>
          <w:p w:rsidR="005E0AFA" w:rsidRDefault="009779AB" w:rsidP="00687726">
            <w:pPr>
              <w:spacing w:line="360" w:lineRule="auto"/>
              <w:cnfStyle w:val="000000100000" w:firstRow="0" w:lastRow="0" w:firstColumn="0" w:lastColumn="0" w:oddVBand="0" w:evenVBand="0" w:oddHBand="1" w:evenHBand="0" w:firstRowFirstColumn="0" w:firstRowLastColumn="0" w:lastRowFirstColumn="0" w:lastRowLastColumn="0"/>
            </w:pPr>
            <w:r>
              <w:t>NOK</w:t>
            </w:r>
            <w:r w:rsidR="005E0AFA">
              <w:t xml:space="preserve"> 117.00</w:t>
            </w:r>
          </w:p>
        </w:tc>
      </w:tr>
      <w:tr w:rsidR="005E0AFA" w:rsidTr="00687726">
        <w:tc>
          <w:tcPr>
            <w:cnfStyle w:val="001000000000" w:firstRow="0" w:lastRow="0" w:firstColumn="1" w:lastColumn="0" w:oddVBand="0" w:evenVBand="0" w:oddHBand="0" w:evenHBand="0" w:firstRowFirstColumn="0" w:firstRowLastColumn="0" w:lastRowFirstColumn="0" w:lastRowLastColumn="0"/>
            <w:tcW w:w="3192" w:type="dxa"/>
            <w:vMerge/>
          </w:tcPr>
          <w:p w:rsidR="005E0AFA" w:rsidRDefault="005E0AFA" w:rsidP="00687726">
            <w:pPr>
              <w:spacing w:line="360" w:lineRule="auto"/>
            </w:pPr>
          </w:p>
        </w:tc>
        <w:tc>
          <w:tcPr>
            <w:tcW w:w="3192" w:type="dxa"/>
          </w:tcPr>
          <w:p w:rsidR="005E0AFA" w:rsidRDefault="005E0AFA" w:rsidP="00687726">
            <w:pPr>
              <w:spacing w:line="360" w:lineRule="auto"/>
              <w:cnfStyle w:val="000000000000" w:firstRow="0" w:lastRow="0" w:firstColumn="0" w:lastColumn="0" w:oddVBand="0" w:evenVBand="0" w:oddHBand="0" w:evenHBand="0" w:firstRowFirstColumn="0" w:firstRowLastColumn="0" w:lastRowFirstColumn="0" w:lastRowLastColumn="0"/>
            </w:pPr>
            <w:r>
              <w:t>Sweden</w:t>
            </w:r>
          </w:p>
        </w:tc>
        <w:tc>
          <w:tcPr>
            <w:tcW w:w="3192" w:type="dxa"/>
          </w:tcPr>
          <w:p w:rsidR="005E0AFA" w:rsidRDefault="009779AB" w:rsidP="00687726">
            <w:pPr>
              <w:spacing w:line="360" w:lineRule="auto"/>
              <w:cnfStyle w:val="000000000000" w:firstRow="0" w:lastRow="0" w:firstColumn="0" w:lastColumn="0" w:oddVBand="0" w:evenVBand="0" w:oddHBand="0" w:evenHBand="0" w:firstRowFirstColumn="0" w:firstRowLastColumn="0" w:lastRowFirstColumn="0" w:lastRowLastColumn="0"/>
            </w:pPr>
            <w:r>
              <w:t>SEK</w:t>
            </w:r>
            <w:r w:rsidR="005E0AFA">
              <w:t xml:space="preserve"> 114.50</w:t>
            </w:r>
          </w:p>
        </w:tc>
      </w:tr>
    </w:tbl>
    <w:p w:rsidR="006A117C" w:rsidRPr="00CC4F5C" w:rsidRDefault="00687726" w:rsidP="00687726">
      <w:pPr>
        <w:spacing w:line="480" w:lineRule="auto"/>
        <w:rPr>
          <w:noProof/>
        </w:rPr>
      </w:pPr>
      <w:r>
        <w:t xml:space="preserve">(Source: World Bank, 2019; </w:t>
      </w:r>
      <w:r>
        <w:rPr>
          <w:noProof/>
        </w:rPr>
        <w:t>Focus-Economics, 2019)</w:t>
      </w:r>
    </w:p>
    <w:p w:rsidR="00CE3DAF" w:rsidRPr="00611C19" w:rsidRDefault="00E428FF" w:rsidP="00611C19">
      <w:pPr>
        <w:spacing w:line="480" w:lineRule="auto"/>
        <w:rPr>
          <w:b/>
        </w:rPr>
      </w:pPr>
      <w:bookmarkStart w:id="5" w:name="_Toc26150093"/>
      <w:r w:rsidRPr="00611C19">
        <w:rPr>
          <w:b/>
        </w:rPr>
        <w:t xml:space="preserve">5.0. </w:t>
      </w:r>
      <w:r w:rsidR="00CE3DAF" w:rsidRPr="00611C19">
        <w:rPr>
          <w:b/>
        </w:rPr>
        <w:t>Political and Legal Screening</w:t>
      </w:r>
      <w:bookmarkEnd w:id="5"/>
      <w:r w:rsidR="00CE3DAF" w:rsidRPr="00611C19">
        <w:rPr>
          <w:b/>
        </w:rPr>
        <w:t xml:space="preserve"> </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5.1. Type of Government</w:t>
      </w:r>
    </w:p>
    <w:p w:rsidR="00B2575D" w:rsidRPr="00B2575D" w:rsidRDefault="00B2575D" w:rsidP="00B2575D">
      <w:pPr>
        <w:pStyle w:val="NormalWeb"/>
        <w:spacing w:before="0" w:beforeAutospacing="0" w:after="0" w:afterAutospacing="0" w:line="480" w:lineRule="auto"/>
        <w:rPr>
          <w:color w:val="1C1E29"/>
        </w:rPr>
      </w:pPr>
      <w:r w:rsidRPr="00B2575D">
        <w:rPr>
          <w:rStyle w:val="Strong"/>
          <w:color w:val="1C1E29"/>
        </w:rPr>
        <w:t>           </w:t>
      </w:r>
      <w:r w:rsidRPr="00B2575D">
        <w:rPr>
          <w:color w:val="1C1E29"/>
        </w:rPr>
        <w:t xml:space="preserve">Sweden has a constitutional democracy model of government that acknowledges the sovereign power belongs to the citizens who can exercises it by voting in representatives to the parliament, county councils, and municipalities. The parliament voted in a prime minister from the majority party or a coalition candidate to be the head of government and the appointing authority. Mr. Stefan </w:t>
      </w:r>
      <w:proofErr w:type="spellStart"/>
      <w:r w:rsidRPr="00B2575D">
        <w:rPr>
          <w:color w:val="1C1E29"/>
        </w:rPr>
        <w:t>Lofven</w:t>
      </w:r>
      <w:proofErr w:type="spellEnd"/>
      <w:r w:rsidRPr="00B2575D">
        <w:rPr>
          <w:color w:val="1C1E29"/>
        </w:rPr>
        <w:t>, Social Democrat, is the current Prime Minister re-appointed in 2018. Conversely, Norway has a government structure comprising of a constitutional monarchy and parliamentarian democracy. The monarchy is the Head of State and the Commander-in-Chief of all armed forces. Unlike Sweden, the monarchy is tasked to appoint the cabinet members with the parliament tasked to approve or disapprove such nominees. The Prime Minister becomes the Head of Government with a duty to supervise the judiciary and legislative arms of government.</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5.2. Entry Barriers: </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xml:space="preserve">           Increased globalization and liberalization phenomena have led to a significant paradigm shift as economies strive to attract more multinational entities. Norway has been on the forefront </w:t>
      </w:r>
      <w:r w:rsidRPr="00B2575D">
        <w:rPr>
          <w:color w:val="1C1E29"/>
        </w:rPr>
        <w:lastRenderedPageBreak/>
        <w:t>to attract and retain more multinational ventures using the ease of doing business, minimal restriction to foreign ownership, and availability preferential treatments to certain cadres of businesses (Solberg, 2018). Norway ranks 5th out of 189 countries polled in a World Bank’s Ease of Doing Business Report and 5th out of 175 on Transparency International’s Corruption Perception Index, which demonstrates the attractiveness of Norway as a destination for international commerce (U.S. Department of State, 2015). The positive attitude toward foreign investment has been ingrained in the country’s </w:t>
      </w:r>
      <w:r w:rsidRPr="00B2575D">
        <w:rPr>
          <w:rStyle w:val="Emphasis"/>
          <w:color w:val="1C1E29"/>
        </w:rPr>
        <w:t>Invest in Norway</w:t>
      </w:r>
      <w:r w:rsidRPr="00B2575D">
        <w:rPr>
          <w:color w:val="1C1E29"/>
        </w:rPr>
        <w:t> promotion mantra that advocates for competitive policies and grants (ibid). Moreover, Norway is a signatory member of the European Economic Area for Free Trade that advocates for the adoption of equal and fair treatment principles. A decision to venture in to Norway is a viable and welcomed endeavor because of the high level of preparedness that characterizes the country.</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Conversely, Sweden acknowledges the intense competition from the other Nordic countries for foreign investors has adopted the best practices to align with the tenets of globalization. Overall, Sweden has abolished the majority of restrictions that can hamper foreign investments (</w:t>
      </w:r>
      <w:proofErr w:type="spellStart"/>
      <w:r w:rsidRPr="00B2575D">
        <w:rPr>
          <w:color w:val="1C1E29"/>
        </w:rPr>
        <w:t>Rehn</w:t>
      </w:r>
      <w:proofErr w:type="spellEnd"/>
      <w:r w:rsidRPr="00B2575D">
        <w:rPr>
          <w:color w:val="1C1E29"/>
        </w:rPr>
        <w:t xml:space="preserve">, </w:t>
      </w:r>
      <w:proofErr w:type="spellStart"/>
      <w:r w:rsidRPr="00B2575D">
        <w:rPr>
          <w:color w:val="1C1E29"/>
        </w:rPr>
        <w:t>Kindgren-Bengtsson</w:t>
      </w:r>
      <w:proofErr w:type="spellEnd"/>
      <w:r w:rsidRPr="00B2575D">
        <w:rPr>
          <w:color w:val="1C1E29"/>
        </w:rPr>
        <w:t xml:space="preserve">, </w:t>
      </w:r>
      <w:proofErr w:type="spellStart"/>
      <w:r w:rsidRPr="00B2575D">
        <w:rPr>
          <w:color w:val="1C1E29"/>
        </w:rPr>
        <w:t>Myrén</w:t>
      </w:r>
      <w:proofErr w:type="spellEnd"/>
      <w:r w:rsidRPr="00B2575D">
        <w:rPr>
          <w:color w:val="1C1E29"/>
        </w:rPr>
        <w:t xml:space="preserve">, </w:t>
      </w:r>
      <w:proofErr w:type="spellStart"/>
      <w:r w:rsidRPr="00B2575D">
        <w:rPr>
          <w:color w:val="1C1E29"/>
        </w:rPr>
        <w:t>Norderyd</w:t>
      </w:r>
      <w:proofErr w:type="spellEnd"/>
      <w:r w:rsidRPr="00B2575D">
        <w:rPr>
          <w:color w:val="1C1E29"/>
        </w:rPr>
        <w:t xml:space="preserve">, &amp; </w:t>
      </w:r>
      <w:proofErr w:type="spellStart"/>
      <w:r w:rsidRPr="00B2575D">
        <w:rPr>
          <w:color w:val="1C1E29"/>
        </w:rPr>
        <w:t>Lindahl</w:t>
      </w:r>
      <w:proofErr w:type="spellEnd"/>
      <w:r w:rsidRPr="00B2575D">
        <w:rPr>
          <w:color w:val="1C1E29"/>
        </w:rPr>
        <w:t>, 2019). However, the country has minimal restrictions on foreign ownership in critical sectors that include the manufacture of military products and the use of natural resources. A stringent permit is accorded to the provision of military products (ibid). Sweden also adheres to the implementation of the U.N initiated sanctions against a particular country (ibid). The country has also matched the programs initiated by the other Nordic nations to lure prospective international investors by availing financial incentives and the design of favorable tax regimes.</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5.3. Profit Transfer Barriers</w:t>
      </w:r>
    </w:p>
    <w:p w:rsidR="00B2575D" w:rsidRPr="00B2575D" w:rsidRDefault="00B2575D" w:rsidP="00B2575D">
      <w:pPr>
        <w:pStyle w:val="NormalWeb"/>
        <w:spacing w:before="0" w:beforeAutospacing="0" w:after="0" w:afterAutospacing="0" w:line="480" w:lineRule="auto"/>
        <w:rPr>
          <w:color w:val="1C1E29"/>
        </w:rPr>
      </w:pPr>
      <w:r w:rsidRPr="00B2575D">
        <w:rPr>
          <w:color w:val="1C1E29"/>
        </w:rPr>
        <w:lastRenderedPageBreak/>
        <w:t>           The paradigm of market liberalization envisions a government-free business transaction and other commercial activities. Specifically, the Norwegian and Swedish governments embark on eradicating fiduciary and structural limitations on foreign investments and repatriation of profit. Specifically, the Norwegian government in 2005 committed to abolishing the ceiling on foreign equity, which was an approach aimed to harness free repatriation of profit (Solberg, 2018). Another legal milestone that focuses on profit and repatriation of invested capital relates to the National Security Act of 2018 that proposes punitive measures to combat money-laundering crime and financing of terrorism activities (ibid). The Act calls for a robust plan and policy to safeguard the credibility of the finance sector. Government agencies can halt foreign investments flagged to be suspicious (ibid). The new legislation reflects the proliferation of complex challenges that impede the reliability of international commerce, globalization, and market liberalization. The business fraternity ought to realign their commerce activities to eradicate the negative aspects of international trades that include money laundering and terrorism.</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5.4. Political risk:</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The Nordic nations boost political stability that helps to safeguard the interests of foreign investors. Recently, both Norway and Sweden held their democratic election in 2017 and 2018 respectively without significant incidences that can precipitate political upheavals (</w:t>
      </w:r>
      <w:proofErr w:type="spellStart"/>
      <w:r w:rsidRPr="00B2575D">
        <w:rPr>
          <w:color w:val="1C1E29"/>
        </w:rPr>
        <w:t>Rehn</w:t>
      </w:r>
      <w:proofErr w:type="spellEnd"/>
      <w:r w:rsidRPr="00B2575D">
        <w:rPr>
          <w:color w:val="1C1E29"/>
        </w:rPr>
        <w:t xml:space="preserve">, </w:t>
      </w:r>
      <w:proofErr w:type="spellStart"/>
      <w:r w:rsidRPr="00B2575D">
        <w:rPr>
          <w:color w:val="1C1E29"/>
        </w:rPr>
        <w:t>Kindgren-Bengtsson</w:t>
      </w:r>
      <w:proofErr w:type="spellEnd"/>
      <w:r w:rsidRPr="00B2575D">
        <w:rPr>
          <w:color w:val="1C1E29"/>
        </w:rPr>
        <w:t xml:space="preserve">, </w:t>
      </w:r>
      <w:proofErr w:type="spellStart"/>
      <w:r w:rsidRPr="00B2575D">
        <w:rPr>
          <w:color w:val="1C1E29"/>
        </w:rPr>
        <w:t>Myrén</w:t>
      </w:r>
      <w:proofErr w:type="spellEnd"/>
      <w:r w:rsidRPr="00B2575D">
        <w:rPr>
          <w:color w:val="1C1E29"/>
        </w:rPr>
        <w:t xml:space="preserve">, </w:t>
      </w:r>
      <w:proofErr w:type="spellStart"/>
      <w:r w:rsidRPr="00B2575D">
        <w:rPr>
          <w:color w:val="1C1E29"/>
        </w:rPr>
        <w:t>Norderyd</w:t>
      </w:r>
      <w:proofErr w:type="spellEnd"/>
      <w:r w:rsidRPr="00B2575D">
        <w:rPr>
          <w:color w:val="1C1E29"/>
        </w:rPr>
        <w:t xml:space="preserve">, &amp; </w:t>
      </w:r>
      <w:proofErr w:type="spellStart"/>
      <w:r w:rsidRPr="00B2575D">
        <w:rPr>
          <w:color w:val="1C1E29"/>
        </w:rPr>
        <w:t>Lindahl</w:t>
      </w:r>
      <w:proofErr w:type="spellEnd"/>
      <w:r w:rsidRPr="00B2575D">
        <w:rPr>
          <w:color w:val="1C1E29"/>
        </w:rPr>
        <w:t xml:space="preserve">, 2019). The maturity of democracy in the two Nordic nations is a key factor that sustains the attractiveness to foreign investors. Further, Norway ranks fifth out of 175 countries in the Transparency International report on corruption perceptions (U.S. Department of State, 2015). The Ministry of Foreign Affair has embarked on rigorous anti-corruption drives to create awareness and eradicate malpractices, which erode the </w:t>
      </w:r>
      <w:r w:rsidRPr="00B2575D">
        <w:rPr>
          <w:color w:val="1C1E29"/>
        </w:rPr>
        <w:lastRenderedPageBreak/>
        <w:t>national ethical fabrics (ibid). However, Norway has experienced a single incidence of terrorist attacks in July 2011, which resulted in the death of 77 persons (ibid). The perpetrator was arrested and subjected to a fair and credible legal justice system.</w:t>
      </w:r>
    </w:p>
    <w:p w:rsidR="00B2575D" w:rsidRPr="00B2575D" w:rsidRDefault="00B2575D" w:rsidP="00B2575D">
      <w:pPr>
        <w:pStyle w:val="NormalWeb"/>
        <w:spacing w:before="0" w:beforeAutospacing="0" w:after="0" w:afterAutospacing="0" w:line="480" w:lineRule="auto"/>
        <w:rPr>
          <w:color w:val="1C1E29"/>
        </w:rPr>
      </w:pPr>
      <w:r w:rsidRPr="00B2575D">
        <w:rPr>
          <w:rStyle w:val="Strong"/>
          <w:color w:val="1C1E29"/>
        </w:rPr>
        <w:t>6.0. Socio-cultural Screening </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6.1. Demographic data</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Demographic data facilitates sociocultural screening because it outlines the current population, growth rate, details about gender, and ethnicity distribution. As of January 2018, Norway had a population of </w:t>
      </w:r>
      <w:r w:rsidRPr="00B2575D">
        <w:rPr>
          <w:rStyle w:val="Strong"/>
          <w:color w:val="1C1E29"/>
        </w:rPr>
        <w:t>5,295,619 </w:t>
      </w:r>
      <w:r w:rsidRPr="00B2575D">
        <w:rPr>
          <w:color w:val="1C1E29"/>
        </w:rPr>
        <w:t>with a steady growth rate of 1.3% (Focus-Economics, 2019). Another key demographic detail relates to the life expectancy of </w:t>
      </w:r>
      <w:r w:rsidRPr="00B2575D">
        <w:rPr>
          <w:rStyle w:val="Strong"/>
          <w:color w:val="1C1E29"/>
        </w:rPr>
        <w:t>80.91 years</w:t>
      </w:r>
      <w:r w:rsidRPr="00B2575D">
        <w:rPr>
          <w:color w:val="1C1E29"/>
        </w:rPr>
        <w:t> for the male population and </w:t>
      </w:r>
      <w:r w:rsidRPr="00B2575D">
        <w:rPr>
          <w:rStyle w:val="Strong"/>
          <w:color w:val="1C1E29"/>
        </w:rPr>
        <w:t>84.28 years</w:t>
      </w:r>
      <w:r w:rsidRPr="00B2575D">
        <w:rPr>
          <w:color w:val="1C1E29"/>
        </w:rPr>
        <w:t> for the female citizen (Statistic Norway, 2019). The fertility rate among women is </w:t>
      </w:r>
      <w:r w:rsidRPr="00B2575D">
        <w:rPr>
          <w:rStyle w:val="Strong"/>
          <w:color w:val="1C1E29"/>
        </w:rPr>
        <w:t>1.62 children </w:t>
      </w:r>
      <w:r w:rsidRPr="00B2575D">
        <w:rPr>
          <w:color w:val="1C1E29"/>
        </w:rPr>
        <w:t>compared to the </w:t>
      </w:r>
      <w:r w:rsidRPr="00B2575D">
        <w:rPr>
          <w:rStyle w:val="Strong"/>
          <w:color w:val="1C1E29"/>
        </w:rPr>
        <w:t>1.41 children </w:t>
      </w:r>
      <w:r w:rsidRPr="00B2575D">
        <w:rPr>
          <w:color w:val="1C1E29"/>
        </w:rPr>
        <w:t>in men (ibid). Similar to other developed economies, Norway has recorded positive progress in the child mortality rate that improved from 2.7 per 1000</w:t>
      </w:r>
      <w:r w:rsidRPr="00B2575D">
        <w:rPr>
          <w:rStyle w:val="Strong"/>
          <w:color w:val="1C1E29"/>
        </w:rPr>
        <w:t> </w:t>
      </w:r>
      <w:r w:rsidRPr="00B2575D">
        <w:rPr>
          <w:color w:val="1C1E29"/>
        </w:rPr>
        <w:t>to </w:t>
      </w:r>
      <w:r w:rsidRPr="00B2575D">
        <w:rPr>
          <w:rStyle w:val="Strong"/>
          <w:color w:val="1C1E29"/>
        </w:rPr>
        <w:t>2.3 per 1000 living births </w:t>
      </w:r>
      <w:r w:rsidRPr="00B2575D">
        <w:rPr>
          <w:color w:val="1C1E29"/>
        </w:rPr>
        <w:t>(ibid). However, the fertility rate in both sexes is on the decline since 2008 because of the increased consumption of contraceptives and new lifestyle. The ethnic composition in Norway is uneven because the Norwegian-Sami constitutes </w:t>
      </w:r>
      <w:r w:rsidRPr="00B2575D">
        <w:rPr>
          <w:rStyle w:val="Strong"/>
          <w:color w:val="1C1E29"/>
        </w:rPr>
        <w:t>82.2% </w:t>
      </w:r>
      <w:r w:rsidRPr="00B2575D">
        <w:rPr>
          <w:color w:val="1C1E29"/>
        </w:rPr>
        <w:t>of the entire population.</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On the other hand, the demographic attributes of Sweden depict a significant improvement and growth in population, life expectancy, as well as immigration. As of January 2018, the Swedish population has surged to </w:t>
      </w:r>
      <w:r w:rsidRPr="00B2575D">
        <w:rPr>
          <w:rStyle w:val="Strong"/>
          <w:color w:val="1C1E29"/>
        </w:rPr>
        <w:t>10,230,000 people, </w:t>
      </w:r>
      <w:r w:rsidRPr="00B2575D">
        <w:rPr>
          <w:color w:val="1C1E29"/>
        </w:rPr>
        <w:t>which represents </w:t>
      </w:r>
      <w:r w:rsidRPr="00B2575D">
        <w:rPr>
          <w:rStyle w:val="Strong"/>
          <w:color w:val="1C1E29"/>
        </w:rPr>
        <w:t>4.6%</w:t>
      </w:r>
      <w:r w:rsidRPr="00B2575D">
        <w:rPr>
          <w:color w:val="1C1E29"/>
        </w:rPr>
        <w:t> from the 2012 census report (Focus-Economics, 2019). The increases in the standard of living have led to a growth in the life expectancy from a 38.5 year in 1751 to </w:t>
      </w:r>
      <w:r w:rsidRPr="00B2575D">
        <w:rPr>
          <w:rStyle w:val="Strong"/>
          <w:color w:val="1C1E29"/>
        </w:rPr>
        <w:t>81.9 years </w:t>
      </w:r>
      <w:r w:rsidRPr="00B2575D">
        <w:rPr>
          <w:color w:val="1C1E29"/>
        </w:rPr>
        <w:t>in 2015 (World Bank, 2019)</w:t>
      </w:r>
      <w:r w:rsidRPr="00B2575D">
        <w:rPr>
          <w:rStyle w:val="Strong"/>
          <w:color w:val="1C1E29"/>
        </w:rPr>
        <w:t>. </w:t>
      </w:r>
      <w:r w:rsidRPr="00B2575D">
        <w:rPr>
          <w:color w:val="1C1E29"/>
        </w:rPr>
        <w:t> Unfortunately, modernization and increased urbanization have led to a decline in the fertility rate because it dropped from 5.09 children in 1750 to </w:t>
      </w:r>
      <w:r w:rsidRPr="00B2575D">
        <w:rPr>
          <w:rStyle w:val="Strong"/>
          <w:color w:val="1C1E29"/>
        </w:rPr>
        <w:t>1.78 children </w:t>
      </w:r>
      <w:r w:rsidRPr="00B2575D">
        <w:rPr>
          <w:color w:val="1C1E29"/>
        </w:rPr>
        <w:t xml:space="preserve">in 2018. </w:t>
      </w:r>
      <w:r w:rsidRPr="00B2575D">
        <w:rPr>
          <w:color w:val="1C1E29"/>
        </w:rPr>
        <w:lastRenderedPageBreak/>
        <w:t>Importantly, the trend in immigration has surged since the Second World War to a record 2,439,007 foreign-born nationals registered in 2017.</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6.2. Social structure</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xml:space="preserve">           A notable social structure that characterizes the Nordic societies is the egalitarian cultural dimension. Historically, the egalitarian perspective gained traction in 1928 during the leadership of Prime Minister Per </w:t>
      </w:r>
      <w:proofErr w:type="spellStart"/>
      <w:r w:rsidRPr="00B2575D">
        <w:rPr>
          <w:color w:val="1C1E29"/>
        </w:rPr>
        <w:t>Albin</w:t>
      </w:r>
      <w:proofErr w:type="spellEnd"/>
      <w:r w:rsidRPr="00B2575D">
        <w:rPr>
          <w:color w:val="1C1E29"/>
        </w:rPr>
        <w:t xml:space="preserve"> after pinned the mantra of </w:t>
      </w:r>
      <w:proofErr w:type="spellStart"/>
      <w:r w:rsidRPr="00B2575D">
        <w:rPr>
          <w:rStyle w:val="Emphasis"/>
          <w:color w:val="1C1E29"/>
        </w:rPr>
        <w:t>folkhemmet</w:t>
      </w:r>
      <w:proofErr w:type="spellEnd"/>
      <w:r w:rsidRPr="00B2575D">
        <w:rPr>
          <w:rStyle w:val="Emphasis"/>
          <w:color w:val="1C1E29"/>
        </w:rPr>
        <w:t>, </w:t>
      </w:r>
      <w:r w:rsidRPr="00B2575D">
        <w:rPr>
          <w:color w:val="1C1E29"/>
        </w:rPr>
        <w:t>which translates to ‘people’s home’. Consequently, the Swedish have embarked to harness equality and care as the symbol of their social structure. The two societies strive to maximize gender parity and safeguard work-life balance as the core identity of the Norwegian and Swedish social structure. </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6.3. Religion</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Another common attribute between the Norwegian and Swedish sociocultural dimensions is the high tolerance that advocates for freedom of worship. Different religious factions co-exist effectively with the minimal case of religious-based conflicts. In Norway, the Evangelical Lutheran religion has the largest number of followers at </w:t>
      </w:r>
      <w:r w:rsidRPr="00B2575D">
        <w:rPr>
          <w:rStyle w:val="Strong"/>
          <w:color w:val="1C1E29"/>
        </w:rPr>
        <w:t>78%</w:t>
      </w:r>
      <w:r w:rsidRPr="00B2575D">
        <w:rPr>
          <w:color w:val="1C1E29"/>
        </w:rPr>
        <w:t> (OECD, 2019).</w:t>
      </w:r>
      <w:r w:rsidRPr="00B2575D">
        <w:rPr>
          <w:rStyle w:val="Strong"/>
          <w:color w:val="1C1E29"/>
        </w:rPr>
        <w:t> </w:t>
      </w:r>
      <w:r w:rsidRPr="00B2575D">
        <w:rPr>
          <w:color w:val="1C1E29"/>
        </w:rPr>
        <w:t>The other key religious units include the Roman Catholic at 2.8%, Christian, and Muslim. On the other hand, the Church of Sweden has been a dominant religious entity in 2000. The other populous religious denominations are the Roman Catholic, Orthodox Churches, Pentecostal, and Jewish community. The enactment of the Freedom of Religion in 1951 has helped to portray Sweden as a hub of religious tolerance.</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6.4. Education</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xml:space="preserve">           The education system in Norway comprises four tiers that include the primary, lower and upper-secondary, in addition to the adult-learning systems. The learners received free and </w:t>
      </w:r>
      <w:r w:rsidRPr="00B2575D">
        <w:rPr>
          <w:color w:val="1C1E29"/>
        </w:rPr>
        <w:lastRenderedPageBreak/>
        <w:t>compulsory primary education in Norway where instructions are delivered using the Norwegian language. The primary and lower secondary school levels have the highest number of enrolment.</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On the other hand, the education structure in Sweden is financed using government funding. The education compels learners to undergo ten years of school attendance for all children aged six and above. The key categories include the preschool facilities that are provided by the municipal. The government provides compulsory schooling for the children at the primary school level and the Sami schools, which are special facilities for the indigenous children.  </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6.5. Language </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xml:space="preserve">           The language is a critical sociocultural element because it helps to safeguard the continuity of a community. In Norway, the Norwegian language is the official model of communication because 95% of the population has knowledge about it. The other major languages in Norway include Nynorsk, which is common in the Western region and the Bokmal. Sami and </w:t>
      </w:r>
      <w:proofErr w:type="spellStart"/>
      <w:r w:rsidRPr="00B2575D">
        <w:rPr>
          <w:color w:val="1C1E29"/>
        </w:rPr>
        <w:t>Kvam</w:t>
      </w:r>
      <w:proofErr w:type="spellEnd"/>
      <w:r w:rsidRPr="00B2575D">
        <w:rPr>
          <w:color w:val="1C1E29"/>
        </w:rPr>
        <w:t xml:space="preserve"> are some of the minority dialects used in the Northern region.</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Conversely, the Swedish language is the official language in Sweden. The Swedish language is a North-Germanic language that borrows elements from English, French, and Finnish. The standardization of the Swedish language has helped to harness its growth across the country. The English language is the second dominant language.</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6.6. Explain the relevance of the data to your product-market</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xml:space="preserve">           The strategic management concept encourages regular scanning of the prevailing socio-cultural elements to facilitate an organization's response to changes. Notably, Chipotle will endeavor to evaluate the changes in the demographic attributes because they influenced growth in population. A review on the demographic information of the Nordic consumer depicts there has been a significant change in lifestyle that is evident in the low fertility rate and improvements </w:t>
      </w:r>
      <w:r w:rsidRPr="00B2575D">
        <w:rPr>
          <w:color w:val="1C1E29"/>
        </w:rPr>
        <w:lastRenderedPageBreak/>
        <w:t>in the standard of living. Therefore, such insights influence Chipotle to take critical emphasizes on the provision of healthy and quality food options that match the current standard of living for the consumer. Further, knowledge about the cadre of languages has strategic importance because it influences the ability to establish contacts with prospective buyers by designing advertisements in the dominant language. Moreover, a foreign investor requires knowledge about the quality of the education system because it influences the availability of skilled employees.</w:t>
      </w:r>
    </w:p>
    <w:p w:rsidR="00B2575D" w:rsidRPr="00B2575D" w:rsidRDefault="00B2575D" w:rsidP="00B2575D">
      <w:pPr>
        <w:pStyle w:val="NormalWeb"/>
        <w:spacing w:before="0" w:beforeAutospacing="0" w:after="0" w:afterAutospacing="0" w:line="480" w:lineRule="auto"/>
        <w:rPr>
          <w:color w:val="1C1E29"/>
        </w:rPr>
      </w:pPr>
      <w:r w:rsidRPr="00B2575D">
        <w:rPr>
          <w:rStyle w:val="Strong"/>
          <w:color w:val="1C1E29"/>
        </w:rPr>
        <w:t>7.0. Competitive Screening</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7.1. Number, Size and Financial Strength of Competition</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xml:space="preserve">           Chipotle acknowledges the level of competition in the </w:t>
      </w:r>
      <w:r w:rsidRPr="00B2575D">
        <w:rPr>
          <w:color w:val="1C1E29"/>
        </w:rPr>
        <w:t>fast casual</w:t>
      </w:r>
      <w:r w:rsidRPr="00B2575D">
        <w:rPr>
          <w:color w:val="1C1E29"/>
        </w:rPr>
        <w:t xml:space="preserve"> and casual dining restaur</w:t>
      </w:r>
      <w:r>
        <w:rPr>
          <w:color w:val="1C1E29"/>
        </w:rPr>
        <w:t>ant is intense. Moreover, companies</w:t>
      </w:r>
      <w:r w:rsidRPr="00B2575D">
        <w:rPr>
          <w:color w:val="1C1E29"/>
        </w:rPr>
        <w:t xml:space="preserve"> compete using prices, service-delivery, branding, as well as the quality and variety of food options available. Therefore, Chipotle strives to gain competitive advantages over rivals using regular and informed competition analysis. A competitor analysis entails determining the actual number of fast-casual and quick-serve businesses in Norway. In particular, the number of restaurants and mobile-food service providers in Norway was 7,117 as of 2017. The structure and the size of the competitor influence the cadre of strategy and tactic to use gain market share. In Oslo Norway, Chipotle will face intense competition from McDonald, </w:t>
      </w:r>
      <w:proofErr w:type="spellStart"/>
      <w:r w:rsidRPr="00B2575D">
        <w:rPr>
          <w:color w:val="1C1E29"/>
        </w:rPr>
        <w:t>Umoe</w:t>
      </w:r>
      <w:proofErr w:type="spellEnd"/>
      <w:r w:rsidRPr="00B2575D">
        <w:rPr>
          <w:color w:val="1C1E29"/>
        </w:rPr>
        <w:t xml:space="preserve"> Catering, and </w:t>
      </w:r>
      <w:proofErr w:type="spellStart"/>
      <w:r w:rsidRPr="00B2575D">
        <w:rPr>
          <w:color w:val="1C1E29"/>
        </w:rPr>
        <w:t>Grossistene</w:t>
      </w:r>
      <w:proofErr w:type="spellEnd"/>
      <w:r w:rsidRPr="00B2575D">
        <w:rPr>
          <w:color w:val="1C1E29"/>
        </w:rPr>
        <w:t xml:space="preserve">. The three represent the dominant foreign-based and local casual-dining restaurants. McDonald's boost of superior competitiveness because of the vast experiences in international commerce and resources to serve over 68 million consumers per day, which translates into $1.5 sales revenue. Some boosts of having home-advantages because it is one of the successful local restaurants to gain competitiveness. The vast knowledge of the consumers’ cultures and shopping habits led to </w:t>
      </w:r>
      <w:r w:rsidRPr="00B2575D">
        <w:rPr>
          <w:color w:val="1C1E29"/>
        </w:rPr>
        <w:t>sales</w:t>
      </w:r>
      <w:r w:rsidRPr="00B2575D">
        <w:rPr>
          <w:color w:val="1C1E29"/>
        </w:rPr>
        <w:t xml:space="preserve"> revenue of $284.2 </w:t>
      </w:r>
      <w:r w:rsidRPr="00B2575D">
        <w:rPr>
          <w:color w:val="1C1E29"/>
        </w:rPr>
        <w:lastRenderedPageBreak/>
        <w:t xml:space="preserve">million. </w:t>
      </w:r>
      <w:proofErr w:type="spellStart"/>
      <w:r w:rsidRPr="00B2575D">
        <w:rPr>
          <w:color w:val="1C1E29"/>
        </w:rPr>
        <w:t>Grossistene</w:t>
      </w:r>
      <w:proofErr w:type="spellEnd"/>
      <w:r w:rsidRPr="00B2575D">
        <w:rPr>
          <w:color w:val="1C1E29"/>
        </w:rPr>
        <w:t xml:space="preserve"> is another local restaurant that has been able to maximize knowledge about the changes in consumer patterns to gain an edge over the foreign restaurant. </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xml:space="preserve">           Equally, the level of competition in the Swedish market is profound because of the revolution evident in the restaurant sector. The top-three competitors in the Swedish market include the Indian Street Food, Eighteen-eighty Nine Pizza, and </w:t>
      </w:r>
      <w:proofErr w:type="spellStart"/>
      <w:r w:rsidRPr="00B2575D">
        <w:rPr>
          <w:color w:val="1C1E29"/>
        </w:rPr>
        <w:t>Kungshallen</w:t>
      </w:r>
      <w:proofErr w:type="spellEnd"/>
      <w:r w:rsidRPr="00B2575D">
        <w:rPr>
          <w:color w:val="1C1E29"/>
        </w:rPr>
        <w:t>. The top-three entities are local-based restaurants, which enables them to maximize their extensive knowledge of the consumer cultures. </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7.2. Market Share Distribution</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w:t>
      </w:r>
      <w:proofErr w:type="spellStart"/>
      <w:r w:rsidRPr="00B2575D">
        <w:rPr>
          <w:color w:val="1C1E29"/>
        </w:rPr>
        <w:t>Umoe</w:t>
      </w:r>
      <w:proofErr w:type="spellEnd"/>
      <w:r w:rsidRPr="00B2575D">
        <w:rPr>
          <w:color w:val="1C1E29"/>
        </w:rPr>
        <w:t xml:space="preserve"> Catering incorporates an expansionary strategy by opening several physical stores across Oslo to gain market share. Besides, the company has been able to leverage on a scheme ‘Buy Local, Build Local’ to draw more traffic in their stores. The firm has 203 location units in Norway. The </w:t>
      </w:r>
      <w:proofErr w:type="spellStart"/>
      <w:r w:rsidRPr="00B2575D">
        <w:rPr>
          <w:color w:val="1C1E29"/>
        </w:rPr>
        <w:t>Grossistene</w:t>
      </w:r>
      <w:proofErr w:type="spellEnd"/>
      <w:r w:rsidRPr="00B2575D">
        <w:rPr>
          <w:color w:val="1C1E29"/>
        </w:rPr>
        <w:t xml:space="preserve"> has been able to gain market share using an acquisition strategy. McDonald's is the largest foreign-based entity and currently has opened 70 locations to serve its large market share. </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7.3. Entry Strategy being used by Competitors</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McDonald's is the largest multination in the Nordic sector. The corporation strives to maximize the licensing capabilities to gain access to a foreign market. A licensing is a suitable strategy because it facilitates the licensing company to mitigate the risk of failure and maximize the expertise inherent by the licensee, which includes knowledge about the local culture (</w:t>
      </w:r>
      <w:proofErr w:type="spellStart"/>
      <w:r w:rsidRPr="00B2575D">
        <w:rPr>
          <w:color w:val="1C1E29"/>
        </w:rPr>
        <w:t>Baena</w:t>
      </w:r>
      <w:proofErr w:type="spellEnd"/>
      <w:r w:rsidRPr="00B2575D">
        <w:rPr>
          <w:color w:val="1C1E29"/>
        </w:rPr>
        <w:t>, 2012). The use of the licensing strategy has been a core source of competitiveness for the McDonald as a multinational entity.</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7.4. Source of Product</w:t>
      </w:r>
    </w:p>
    <w:p w:rsidR="00B2575D" w:rsidRPr="00B2575D" w:rsidRDefault="00B2575D" w:rsidP="00B2575D">
      <w:pPr>
        <w:pStyle w:val="NormalWeb"/>
        <w:spacing w:before="0" w:beforeAutospacing="0" w:after="0" w:afterAutospacing="0" w:line="480" w:lineRule="auto"/>
        <w:rPr>
          <w:color w:val="1C1E29"/>
        </w:rPr>
      </w:pPr>
      <w:r w:rsidRPr="00B2575D">
        <w:rPr>
          <w:color w:val="1C1E29"/>
        </w:rPr>
        <w:lastRenderedPageBreak/>
        <w:t>           The Nordic region is known for its fishing and agricultural prowess because of the reliance on modern technologies to maximize the output. Overall, achieving success in effective sourcing of raw materials and components hinges on the ability to establish and maintain proper relationships with the suppliers of strategic components. Therefore, McDonald and the rest of the competitors in the Norwegian and Sweden nations seek to achieve suppliers' optimization strategy and use of modern technologies to monitor the supply chain activities.</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7.5. Quality of Products</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xml:space="preserve">           The concerns about the quality of food options in the Nordic region have heralded the emergence of new food culture. The new culture among the Nordic consumers includes placing a premium on the food options that demonstrate purity, </w:t>
      </w:r>
      <w:proofErr w:type="spellStart"/>
      <w:r w:rsidRPr="00B2575D">
        <w:rPr>
          <w:color w:val="1C1E29"/>
        </w:rPr>
        <w:t>freshnessness</w:t>
      </w:r>
      <w:proofErr w:type="spellEnd"/>
      <w:r w:rsidRPr="00B2575D">
        <w:rPr>
          <w:color w:val="1C1E29"/>
        </w:rPr>
        <w:t>, and ethics in production processes (Nordic Council of Minister, 2015). The new paradigm calls for sustainable food production and increasing the level of stakeholder engagement. A restaurant manager has a duty to liaise with a local farmer to safeguard the quality and health of the food produces when at the initial supply chain stages (Nordic Council of Minister, 2015). Sustainable food production also provides an opportunity to lower the cost of food and increase flexibility in the variety of options available to the consumers (ibid). Therefore, the intense competition on the quality of food options is the ripple effect of the proliferation of the new Nordic food options.</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7.6. Market Coverage</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xml:space="preserve">           The competitors have dawned on the benefits of integrating an expansionary strategy because of the ability to harness consumers’ convenience and spurs economic growth. McDonald's has embarked on increasing the number of physical restaurants in the Nordic region. However, Chipotle strives to maximize niche-based marketing in the Swedish market by targeting the high-end consumer segment (SEC, 2018). Besides, the endowment of financial </w:t>
      </w:r>
      <w:r w:rsidRPr="00B2575D">
        <w:rPr>
          <w:color w:val="1C1E29"/>
        </w:rPr>
        <w:lastRenderedPageBreak/>
        <w:t>resources and creative calibers of employees are sufficient inputs necessary to design unique restaurant menus.</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7.7. Pricing Policies</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The competitors in the Swedish and Norwegian markets compete on a pricing approach, which necessitates the use of strategic management capabilities. A notable pricing model used is the psychological pricing because it creates an appeal of product affordability from the consumer’s point of view. However, Chipotle strives to incorporate fixed and formula pricing models that manifest the mantra of </w:t>
      </w:r>
      <w:r w:rsidRPr="00B2575D">
        <w:rPr>
          <w:rStyle w:val="Emphasis"/>
          <w:color w:val="1C1E29"/>
        </w:rPr>
        <w:t>food with integrity. </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7.8. Distribution Channels</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Distribution is another strategic action that equips competitive retailers with an opportunity to gain competitiveness. Superior distribution programs help to actualize a form utility for the consumers because it avails services needed on time and at a superior convenience. Consequently, the use of a 4-P’s model of strategic marketing management has gained traction because it agitates the management to pay attention to the activities involved to move services from the point of production to the consumption point. An elaborate strategy is to utilize a physical distribution channel using mobile-restaurants applications, kiosks, and over 70-physical restaurants across Oslo, Norway. On the other hand, Indian Street Food &amp; Co, a key competitor in the Swedish market aims to maximize the efficacy of distribution plan by limiting the number of locations to the densely populated areas and provide an ‘on-the-go setting within the restaurants.</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7.9. After Sales Services </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xml:space="preserve">           The caliber of customer services in the restaurant sector has apparent fundamental paradigm shift because of the intense competition, increased consumerisms, and availability of </w:t>
      </w:r>
      <w:r w:rsidRPr="00B2575D">
        <w:rPr>
          <w:color w:val="1C1E29"/>
        </w:rPr>
        <w:lastRenderedPageBreak/>
        <w:t>modern technologies. Consumers have dawned the need to seek value for their money by building loyalty to sellers that commits to offering commensurate after-sales services. However, financial constraints limit the ability to establish and sustain competitive after-sale services that include home delivery capabilities. McDonald's has pioneered the use of technology to facilitate online transactions and real-time interactions with consumers. Therefore, the home-delivery program enables McDonald's using the live-chat platform to seek consumers’ feedbacks about the services delivered. </w:t>
      </w:r>
    </w:p>
    <w:p w:rsidR="00B2575D" w:rsidRPr="00B2575D" w:rsidRDefault="00B2575D" w:rsidP="00B2575D">
      <w:pPr>
        <w:pStyle w:val="NormalWeb"/>
        <w:spacing w:before="0" w:beforeAutospacing="0" w:after="0" w:afterAutospacing="0" w:line="480" w:lineRule="auto"/>
        <w:rPr>
          <w:color w:val="1C1E29"/>
        </w:rPr>
      </w:pPr>
      <w:r w:rsidRPr="00B2575D">
        <w:rPr>
          <w:rStyle w:val="Strong"/>
          <w:color w:val="1C1E29"/>
        </w:rPr>
        <w:t>8.0. Ethical Issues </w:t>
      </w:r>
    </w:p>
    <w:p w:rsidR="00B2575D" w:rsidRPr="00B2575D" w:rsidRDefault="00B2575D" w:rsidP="00B2575D">
      <w:pPr>
        <w:pStyle w:val="NormalWeb"/>
        <w:spacing w:before="0" w:beforeAutospacing="0" w:after="0" w:afterAutospacing="0" w:line="480" w:lineRule="auto"/>
        <w:ind w:firstLine="720"/>
        <w:rPr>
          <w:color w:val="1C1E29"/>
        </w:rPr>
      </w:pPr>
      <w:r w:rsidRPr="00B2575D">
        <w:rPr>
          <w:color w:val="1C1E29"/>
        </w:rPr>
        <w:t xml:space="preserve">The emergence of international commerce and globalization that enables the introduction of local merchandise to the worldwide market has been criticized for importing ethical malpractices. Several claims of malpractices among the large multinational corporation that includes engaging in bribery, employment of child labor, discrimination, and sweatshop endeavor to pose a fundamental threat to the benefits of international commerce. Therefore, Chipotle decision to venture into the Nordic market, which ranks 5th out of 175 countries as the least </w:t>
      </w:r>
      <w:r w:rsidRPr="00B2575D">
        <w:rPr>
          <w:color w:val="1C1E29"/>
        </w:rPr>
        <w:t>corrupt,</w:t>
      </w:r>
      <w:r w:rsidRPr="00B2575D">
        <w:rPr>
          <w:color w:val="1C1E29"/>
        </w:rPr>
        <w:t xml:space="preserve"> provides an impetus to prioritize the Nordic market over the other prospective zones.</w:t>
      </w:r>
    </w:p>
    <w:p w:rsidR="00B2575D" w:rsidRPr="00B2575D" w:rsidRDefault="00B2575D" w:rsidP="00B2575D">
      <w:pPr>
        <w:pStyle w:val="NormalWeb"/>
        <w:spacing w:before="0" w:beforeAutospacing="0" w:after="0" w:afterAutospacing="0" w:line="480" w:lineRule="auto"/>
        <w:rPr>
          <w:color w:val="1C1E29"/>
        </w:rPr>
      </w:pPr>
      <w:r w:rsidRPr="00B2575D">
        <w:rPr>
          <w:rStyle w:val="Strong"/>
          <w:color w:val="1C1E29"/>
        </w:rPr>
        <w:t>9.0. Final screening</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9.1. Reasons for Selecting Sweden over Norway</w:t>
      </w:r>
    </w:p>
    <w:p w:rsidR="00B2575D" w:rsidRPr="00B2575D" w:rsidRDefault="00B2575D" w:rsidP="00B2575D">
      <w:pPr>
        <w:pStyle w:val="NormalWeb"/>
        <w:spacing w:before="0" w:beforeAutospacing="0" w:after="0" w:afterAutospacing="0" w:line="480" w:lineRule="auto"/>
        <w:rPr>
          <w:color w:val="1C1E29"/>
        </w:rPr>
      </w:pPr>
      <w:r w:rsidRPr="00B2575D">
        <w:rPr>
          <w:color w:val="1C1E29"/>
        </w:rPr>
        <w:t xml:space="preserve">           Overall, a thin-line exists to distinguish the attractiveness of the Swedish market over the Norwegian counterpart. However, the Swedish market performs relatively better than the Norwegian region in the economic and financial screening. First, Sweden has a high population of 10 million people compared to the 5 million citizens of Norway. The high population and growth rate guarantees Chipotle a ready market for its ‘star’ restaurant menus. Secondly, the </w:t>
      </w:r>
      <w:r w:rsidRPr="00B2575D">
        <w:rPr>
          <w:color w:val="1C1E29"/>
        </w:rPr>
        <w:lastRenderedPageBreak/>
        <w:t>climatic conditions in Sweden complement Chipotle’s strategy to source for raw material locally by engaging in a backward-integration strategy, which facilitates the company to plant some of the key ingredients. The Swedish market is relatively warmer with an evenly distributed rainfall. The third reason relates to the caliber of sociocultural attributes of the Swedish society that include political stability, gender-egalitarian, and quality standards of education. Political stability is a key factor that attracts a foreign investor to a new country because it guarantees uninterrupted business continuity. Therefore, a foreign direct investment (FDI) strategy merit for use to venture into the Swedish market because of the guaranteed political stability and protracted economic growth.</w:t>
      </w:r>
    </w:p>
    <w:p w:rsidR="00B2575D" w:rsidRPr="00B2575D" w:rsidRDefault="00B2575D" w:rsidP="00B2575D">
      <w:pPr>
        <w:pStyle w:val="NormalWeb"/>
        <w:spacing w:before="0" w:beforeAutospacing="0" w:after="0" w:afterAutospacing="0" w:line="480" w:lineRule="auto"/>
        <w:rPr>
          <w:color w:val="1C1E29"/>
        </w:rPr>
      </w:pPr>
      <w:r w:rsidRPr="00B2575D">
        <w:rPr>
          <w:rStyle w:val="Emphasis"/>
          <w:color w:val="1C1E29"/>
        </w:rPr>
        <w:t>9.2. How you plan to conduct further research. </w:t>
      </w:r>
      <w:r w:rsidRPr="00B2575D">
        <w:rPr>
          <w:rStyle w:val="Emphasis"/>
          <w:color w:val="1C1E29"/>
          <w:u w:val="single"/>
        </w:rPr>
        <w:t>Be specific</w:t>
      </w:r>
    </w:p>
    <w:p w:rsidR="00B2575D" w:rsidRPr="00B2575D" w:rsidRDefault="00B2575D" w:rsidP="00B2575D">
      <w:pPr>
        <w:pStyle w:val="NormalWeb"/>
        <w:spacing w:before="0" w:beforeAutospacing="0" w:after="0" w:afterAutospacing="0" w:line="480" w:lineRule="auto"/>
        <w:rPr>
          <w:color w:val="1C1E29"/>
        </w:rPr>
      </w:pPr>
      <w:r w:rsidRPr="00B2575D">
        <w:rPr>
          <w:rStyle w:val="Strong"/>
          <w:color w:val="1C1E29"/>
        </w:rPr>
        <w:t>           </w:t>
      </w:r>
      <w:r w:rsidRPr="00B2575D">
        <w:rPr>
          <w:color w:val="1C1E29"/>
        </w:rPr>
        <w:t>Chipotle has an apparent significant milestone since its inception in the late 1990s because of the reliance on strategic management concepts. Consequently, opening a new restaurant in Stockholm, Sweden necessitates continued reliance on strategic management capability to safeguard against uncertainty. A PESTLE model of environmental scanning is one of the tools that will facilitate the new restaurant is able to document changes and take prompt measures to remedy negative implications. PESTLE model facilitates a business manager to plan for changes within the </w:t>
      </w:r>
      <w:r w:rsidRPr="00B2575D">
        <w:rPr>
          <w:rStyle w:val="Strong"/>
          <w:color w:val="1C1E29"/>
        </w:rPr>
        <w:t>p</w:t>
      </w:r>
      <w:r w:rsidRPr="00B2575D">
        <w:rPr>
          <w:color w:val="1C1E29"/>
        </w:rPr>
        <w:t>olitical, </w:t>
      </w:r>
      <w:r w:rsidRPr="00B2575D">
        <w:rPr>
          <w:rStyle w:val="Strong"/>
          <w:color w:val="1C1E29"/>
        </w:rPr>
        <w:t>e</w:t>
      </w:r>
      <w:r w:rsidRPr="00B2575D">
        <w:rPr>
          <w:color w:val="1C1E29"/>
        </w:rPr>
        <w:t>conomic, </w:t>
      </w:r>
      <w:r w:rsidRPr="00B2575D">
        <w:rPr>
          <w:rStyle w:val="Strong"/>
          <w:color w:val="1C1E29"/>
        </w:rPr>
        <w:t>s</w:t>
      </w:r>
      <w:r w:rsidRPr="00B2575D">
        <w:rPr>
          <w:color w:val="1C1E29"/>
        </w:rPr>
        <w:t>ociocultural</w:t>
      </w:r>
      <w:r w:rsidRPr="00B2575D">
        <w:rPr>
          <w:rStyle w:val="Strong"/>
          <w:color w:val="1C1E29"/>
        </w:rPr>
        <w:t>, t</w:t>
      </w:r>
      <w:r w:rsidRPr="00B2575D">
        <w:rPr>
          <w:color w:val="1C1E29"/>
        </w:rPr>
        <w:t>echnological, and </w:t>
      </w:r>
      <w:r w:rsidRPr="00B2575D">
        <w:rPr>
          <w:rStyle w:val="Strong"/>
          <w:color w:val="1C1E29"/>
        </w:rPr>
        <w:t>l</w:t>
      </w:r>
      <w:r w:rsidRPr="00B2575D">
        <w:rPr>
          <w:color w:val="1C1E29"/>
        </w:rPr>
        <w:t>egal spheres. Moreover, the tool anticipates changes in the physical </w:t>
      </w:r>
      <w:r w:rsidRPr="00B2575D">
        <w:rPr>
          <w:rStyle w:val="Strong"/>
          <w:color w:val="1C1E29"/>
        </w:rPr>
        <w:t>environment</w:t>
      </w:r>
      <w:r w:rsidRPr="00B2575D">
        <w:rPr>
          <w:color w:val="1C1E29"/>
        </w:rPr>
        <w:t> that include the demand for sustainable food production. </w:t>
      </w:r>
    </w:p>
    <w:p w:rsidR="00B2575D" w:rsidRPr="00B2575D" w:rsidRDefault="00B2575D" w:rsidP="00B2575D">
      <w:pPr>
        <w:pStyle w:val="NormalWeb"/>
        <w:spacing w:before="0" w:beforeAutospacing="0" w:after="0" w:afterAutospacing="0" w:line="480" w:lineRule="auto"/>
        <w:rPr>
          <w:color w:val="1C1E29"/>
        </w:rPr>
      </w:pPr>
      <w:r w:rsidRPr="00B2575D">
        <w:rPr>
          <w:rStyle w:val="Strong"/>
          <w:color w:val="1C1E29"/>
        </w:rPr>
        <w:t>10.0. Conclusion and Recommendations</w:t>
      </w:r>
    </w:p>
    <w:p w:rsidR="00B2575D" w:rsidRDefault="00B2575D" w:rsidP="00B2575D">
      <w:pPr>
        <w:pStyle w:val="NormalWeb"/>
        <w:spacing w:before="0" w:beforeAutospacing="0" w:after="0" w:afterAutospacing="0" w:line="480" w:lineRule="auto"/>
        <w:rPr>
          <w:color w:val="1C1E29"/>
        </w:rPr>
      </w:pPr>
      <w:r w:rsidRPr="00B2575D">
        <w:rPr>
          <w:color w:val="1C1E29"/>
        </w:rPr>
        <w:t xml:space="preserve">           The benefits of international commerce and globalization surpass the negative concerns. Importantly, strategic businesses need to undertake rigorous analyses that focus on the economic, financial, sociocultural, and political elements of the targeted market. The Swedish market </w:t>
      </w:r>
      <w:r w:rsidRPr="00B2575D">
        <w:rPr>
          <w:color w:val="1C1E29"/>
        </w:rPr>
        <w:lastRenderedPageBreak/>
        <w:t>exhibit pertinent impetus necessary to spur the growth of a new subsidiary. However, it is important that the management undertake a cost and benefit analysis for using FDI entry strategy vis-à-vis the other model of entry.</w:t>
      </w:r>
    </w:p>
    <w:p w:rsidR="006B59C3" w:rsidRPr="00B2575D" w:rsidRDefault="006B59C3" w:rsidP="00B2575D">
      <w:pPr>
        <w:pStyle w:val="Heading1"/>
        <w:spacing w:line="480" w:lineRule="auto"/>
        <w:rPr>
          <w:rFonts w:ascii="Times New Roman" w:hAnsi="Times New Roman" w:cs="Times New Roman"/>
          <w:b w:val="0"/>
          <w:sz w:val="24"/>
          <w:szCs w:val="24"/>
        </w:rPr>
      </w:pPr>
    </w:p>
    <w:p w:rsidR="00B055CB" w:rsidRDefault="00B055CB" w:rsidP="00B055CB"/>
    <w:p w:rsidR="00B055CB" w:rsidRDefault="00B055CB" w:rsidP="00B055CB"/>
    <w:p w:rsidR="00B055CB" w:rsidRDefault="00B055CB" w:rsidP="00B055CB"/>
    <w:p w:rsidR="00B055CB" w:rsidRPr="00B055CB" w:rsidRDefault="00B055CB" w:rsidP="00B055CB"/>
    <w:p w:rsidR="00611C19" w:rsidRDefault="00611C19" w:rsidP="00F92174">
      <w:pPr>
        <w:pStyle w:val="Heading1"/>
        <w:spacing w:line="480" w:lineRule="auto"/>
        <w:jc w:val="center"/>
        <w:rPr>
          <w:rFonts w:ascii="Times New Roman" w:hAnsi="Times New Roman" w:cs="Times New Roman"/>
          <w:sz w:val="24"/>
          <w:szCs w:val="24"/>
        </w:rPr>
      </w:pPr>
    </w:p>
    <w:p w:rsidR="00611C19" w:rsidRPr="00611C19" w:rsidRDefault="00611C19" w:rsidP="00611C19"/>
    <w:p w:rsidR="00B2575D" w:rsidRDefault="00B2575D" w:rsidP="00611C19">
      <w:pPr>
        <w:spacing w:line="480" w:lineRule="auto"/>
        <w:jc w:val="center"/>
      </w:pPr>
      <w:bookmarkStart w:id="6" w:name="_Toc26150120"/>
    </w:p>
    <w:p w:rsidR="00B2575D" w:rsidRDefault="00B2575D" w:rsidP="00611C19">
      <w:pPr>
        <w:spacing w:line="480" w:lineRule="auto"/>
        <w:jc w:val="center"/>
      </w:pPr>
    </w:p>
    <w:p w:rsidR="00B2575D" w:rsidRDefault="00B2575D" w:rsidP="00611C19">
      <w:pPr>
        <w:spacing w:line="480" w:lineRule="auto"/>
        <w:jc w:val="center"/>
      </w:pPr>
    </w:p>
    <w:p w:rsidR="00B2575D" w:rsidRDefault="00B2575D" w:rsidP="00611C19">
      <w:pPr>
        <w:spacing w:line="480" w:lineRule="auto"/>
        <w:jc w:val="center"/>
      </w:pPr>
    </w:p>
    <w:p w:rsidR="00B2575D" w:rsidRDefault="00B2575D" w:rsidP="00611C19">
      <w:pPr>
        <w:spacing w:line="480" w:lineRule="auto"/>
        <w:jc w:val="center"/>
      </w:pPr>
    </w:p>
    <w:p w:rsidR="00B2575D" w:rsidRDefault="00B2575D" w:rsidP="00611C19">
      <w:pPr>
        <w:spacing w:line="480" w:lineRule="auto"/>
        <w:jc w:val="center"/>
      </w:pPr>
    </w:p>
    <w:p w:rsidR="00B2575D" w:rsidRDefault="00B2575D" w:rsidP="00611C19">
      <w:pPr>
        <w:spacing w:line="480" w:lineRule="auto"/>
        <w:jc w:val="center"/>
      </w:pPr>
    </w:p>
    <w:p w:rsidR="00B2575D" w:rsidRDefault="00B2575D" w:rsidP="00611C19">
      <w:pPr>
        <w:spacing w:line="480" w:lineRule="auto"/>
        <w:jc w:val="center"/>
      </w:pPr>
    </w:p>
    <w:p w:rsidR="00B2575D" w:rsidRDefault="00B2575D" w:rsidP="00611C19">
      <w:pPr>
        <w:spacing w:line="480" w:lineRule="auto"/>
        <w:jc w:val="center"/>
      </w:pPr>
    </w:p>
    <w:p w:rsidR="00B2575D" w:rsidRDefault="00B2575D" w:rsidP="00611C19">
      <w:pPr>
        <w:spacing w:line="480" w:lineRule="auto"/>
        <w:jc w:val="center"/>
      </w:pPr>
    </w:p>
    <w:p w:rsidR="00B2575D" w:rsidRDefault="00B2575D" w:rsidP="00611C19">
      <w:pPr>
        <w:spacing w:line="480" w:lineRule="auto"/>
        <w:jc w:val="center"/>
      </w:pPr>
    </w:p>
    <w:p w:rsidR="00B2575D" w:rsidRDefault="00B2575D" w:rsidP="00611C19">
      <w:pPr>
        <w:spacing w:line="480" w:lineRule="auto"/>
        <w:jc w:val="center"/>
      </w:pPr>
    </w:p>
    <w:p w:rsidR="00B2575D" w:rsidRDefault="00B2575D" w:rsidP="00611C19">
      <w:pPr>
        <w:spacing w:line="480" w:lineRule="auto"/>
        <w:jc w:val="center"/>
      </w:pPr>
    </w:p>
    <w:p w:rsidR="00B2575D" w:rsidRDefault="00B2575D" w:rsidP="00611C19">
      <w:pPr>
        <w:spacing w:line="480" w:lineRule="auto"/>
        <w:jc w:val="center"/>
      </w:pPr>
    </w:p>
    <w:p w:rsidR="00CE3DAF" w:rsidRPr="00CC4F5C" w:rsidRDefault="00B22814" w:rsidP="00611C19">
      <w:pPr>
        <w:spacing w:line="480" w:lineRule="auto"/>
        <w:jc w:val="center"/>
      </w:pPr>
      <w:r>
        <w:lastRenderedPageBreak/>
        <w:t>References</w:t>
      </w:r>
      <w:bookmarkEnd w:id="6"/>
    </w:p>
    <w:p w:rsidR="00B055CB" w:rsidRDefault="00B055CB" w:rsidP="006772B7">
      <w:pPr>
        <w:spacing w:line="480" w:lineRule="auto"/>
        <w:ind w:left="720" w:hanging="720"/>
      </w:pPr>
      <w:proofErr w:type="spellStart"/>
      <w:r w:rsidRPr="00547944">
        <w:t>Baena</w:t>
      </w:r>
      <w:proofErr w:type="spellEnd"/>
      <w:r w:rsidRPr="00547944">
        <w:t xml:space="preserve">, V. (2012). “Master franchising as foreign entry mode: </w:t>
      </w:r>
      <w:r w:rsidRPr="00547944">
        <w:rPr>
          <w:noProof/>
        </w:rPr>
        <w:t>Evidence</w:t>
      </w:r>
      <w:r w:rsidRPr="00547944">
        <w:t xml:space="preserve"> from the Spanish franchise system,” </w:t>
      </w:r>
      <w:r w:rsidRPr="00547944">
        <w:rPr>
          <w:i/>
        </w:rPr>
        <w:t>International Scholarly Research Notice Economics, Vol. 2012</w:t>
      </w:r>
      <w:r w:rsidRPr="00547944">
        <w:t>, pp.1-</w:t>
      </w:r>
      <w:r w:rsidR="00611C19">
        <w:t>8</w:t>
      </w:r>
      <w:r w:rsidRPr="00547944">
        <w:t xml:space="preserve">. </w:t>
      </w:r>
    </w:p>
    <w:p w:rsidR="00B055CB" w:rsidRDefault="00B055CB" w:rsidP="004C7107">
      <w:pPr>
        <w:spacing w:line="480" w:lineRule="auto"/>
        <w:ind w:left="720" w:hanging="720"/>
        <w:rPr>
          <w:i/>
        </w:rPr>
      </w:pPr>
      <w:r>
        <w:t xml:space="preserve">Chipotle.com. (2019). </w:t>
      </w:r>
      <w:r>
        <w:rPr>
          <w:i/>
        </w:rPr>
        <w:t xml:space="preserve">Chipotle Mexican Grill, Inc. </w:t>
      </w:r>
      <w:r>
        <w:t>Retrieved from:</w:t>
      </w:r>
      <w:r>
        <w:rPr>
          <w:i/>
        </w:rPr>
        <w:t xml:space="preserve"> </w:t>
      </w:r>
      <w:hyperlink r:id="rId16" w:history="1">
        <w:r w:rsidRPr="00BB122B">
          <w:rPr>
            <w:rStyle w:val="Hyperlink"/>
            <w:i/>
          </w:rPr>
          <w:t>www.chipotle.com</w:t>
        </w:r>
      </w:hyperlink>
    </w:p>
    <w:p w:rsidR="00B055CB" w:rsidRDefault="00B055CB" w:rsidP="004C7107">
      <w:pPr>
        <w:spacing w:line="480" w:lineRule="auto"/>
        <w:ind w:left="720" w:hanging="720"/>
        <w:rPr>
          <w:i/>
        </w:rPr>
      </w:pPr>
      <w:proofErr w:type="spellStart"/>
      <w:r>
        <w:t>Daszkowski</w:t>
      </w:r>
      <w:proofErr w:type="spellEnd"/>
      <w:r>
        <w:t xml:space="preserve">, D. (2018, December 12). “The history of Chipotle Mexican Grill,” </w:t>
      </w:r>
      <w:r>
        <w:rPr>
          <w:i/>
        </w:rPr>
        <w:t xml:space="preserve">The </w:t>
      </w:r>
      <w:proofErr w:type="spellStart"/>
      <w:r>
        <w:rPr>
          <w:i/>
        </w:rPr>
        <w:t>Balanesmb</w:t>
      </w:r>
      <w:proofErr w:type="spellEnd"/>
      <w:r>
        <w:rPr>
          <w:i/>
        </w:rPr>
        <w:t>.</w:t>
      </w:r>
      <w:r w:rsidRPr="00BE02A2">
        <w:t xml:space="preserve"> </w:t>
      </w:r>
      <w:r>
        <w:t xml:space="preserve">Retrieved from: </w:t>
      </w:r>
      <w:hyperlink r:id="rId17" w:history="1">
        <w:r w:rsidRPr="00B662BA">
          <w:rPr>
            <w:rStyle w:val="Hyperlink"/>
            <w:i/>
          </w:rPr>
          <w:t>www.thebalancesmb.com/history-of-chipotle-mexican-grill-3973222</w:t>
        </w:r>
      </w:hyperlink>
    </w:p>
    <w:p w:rsidR="00B055CB" w:rsidRPr="00DA1F99" w:rsidRDefault="00B055CB" w:rsidP="00CF6F98">
      <w:pPr>
        <w:autoSpaceDE w:val="0"/>
        <w:autoSpaceDN w:val="0"/>
        <w:adjustRightInd w:val="0"/>
        <w:spacing w:line="480" w:lineRule="auto"/>
        <w:ind w:left="720" w:hanging="720"/>
        <w:rPr>
          <w:i/>
        </w:rPr>
      </w:pPr>
      <w:r>
        <w:t xml:space="preserve">European Custom Portal. (2019). </w:t>
      </w:r>
      <w:r w:rsidRPr="00DB22AD">
        <w:rPr>
          <w:i/>
        </w:rPr>
        <w:t>HS code, customs tariff number, tariff guide-European Database</w:t>
      </w:r>
      <w:r>
        <w:t xml:space="preserve">, Brussels, Belgium: </w:t>
      </w:r>
      <w:r w:rsidRPr="00DB22AD">
        <w:t xml:space="preserve">AUTHOR </w:t>
      </w:r>
      <w:hyperlink r:id="rId18" w:history="1">
        <w:r w:rsidRPr="00DC1323">
          <w:rPr>
            <w:rStyle w:val="Hyperlink"/>
            <w:i/>
          </w:rPr>
          <w:t>www.tariffnumber.com</w:t>
        </w:r>
      </w:hyperlink>
    </w:p>
    <w:p w:rsidR="00B055CB" w:rsidRDefault="00B055CB" w:rsidP="00CF6F98">
      <w:pPr>
        <w:spacing w:line="480" w:lineRule="auto"/>
        <w:ind w:left="720" w:hanging="720"/>
        <w:rPr>
          <w:i/>
        </w:rPr>
      </w:pPr>
      <w:r w:rsidRPr="00547944">
        <w:t>Focus-Economics. (2019, February 26). “Nor</w:t>
      </w:r>
      <w:r>
        <w:t>dic e</w:t>
      </w:r>
      <w:r w:rsidRPr="00547944">
        <w:t xml:space="preserve">conomic outlook,” </w:t>
      </w:r>
      <w:r w:rsidRPr="00547944">
        <w:rPr>
          <w:i/>
        </w:rPr>
        <w:t xml:space="preserve">AUTHOR, </w:t>
      </w:r>
      <w:r>
        <w:t xml:space="preserve">Retrieved from </w:t>
      </w:r>
      <w:hyperlink r:id="rId19" w:history="1">
        <w:r w:rsidRPr="00991B8A">
          <w:rPr>
            <w:rStyle w:val="Hyperlink"/>
            <w:i/>
          </w:rPr>
          <w:t>www.focus-economics.com/regions/nordic-economies</w:t>
        </w:r>
      </w:hyperlink>
    </w:p>
    <w:p w:rsidR="00B055CB" w:rsidRDefault="00B055CB" w:rsidP="00C2098F">
      <w:pPr>
        <w:spacing w:line="480" w:lineRule="auto"/>
        <w:ind w:left="720" w:hanging="720"/>
      </w:pPr>
      <w:proofErr w:type="spellStart"/>
      <w:r>
        <w:t>Mäkelä</w:t>
      </w:r>
      <w:proofErr w:type="spellEnd"/>
      <w:r>
        <w:t>, J</w:t>
      </w:r>
      <w:r w:rsidRPr="00AE4F0A">
        <w:t xml:space="preserve">., </w:t>
      </w:r>
      <w:proofErr w:type="spellStart"/>
      <w:r w:rsidRPr="00AE4F0A">
        <w:t>Lillebø</w:t>
      </w:r>
      <w:proofErr w:type="spellEnd"/>
      <w:r w:rsidRPr="00AE4F0A">
        <w:t xml:space="preserve">, K. &amp; </w:t>
      </w:r>
      <w:proofErr w:type="spellStart"/>
      <w:r w:rsidRPr="00AE4F0A">
        <w:t>Lammi</w:t>
      </w:r>
      <w:proofErr w:type="spellEnd"/>
      <w:r w:rsidRPr="00AE4F0A">
        <w:t xml:space="preserve">, M. (2011). </w:t>
      </w:r>
      <w:r w:rsidRPr="00AE4F0A">
        <w:rPr>
          <w:i/>
        </w:rPr>
        <w:t>Nordic young health: Possibilities and barriers for new healthy concepts in the fast food sector</w:t>
      </w:r>
      <w:r w:rsidRPr="00AE4F0A">
        <w:t>, Oslo, Norway: Nordic Innovation</w:t>
      </w:r>
    </w:p>
    <w:p w:rsidR="00B055CB" w:rsidRDefault="00B055CB" w:rsidP="0009446A">
      <w:pPr>
        <w:autoSpaceDE w:val="0"/>
        <w:autoSpaceDN w:val="0"/>
        <w:adjustRightInd w:val="0"/>
        <w:spacing w:line="480" w:lineRule="auto"/>
        <w:ind w:left="720" w:hanging="720"/>
        <w:rPr>
          <w:rFonts w:eastAsiaTheme="minorHAnsi"/>
          <w:i/>
        </w:rPr>
      </w:pPr>
      <w:r>
        <w:t>Nordic Council of Minister. (2015). Proceedings from the Program New Nordic Food II, 2010-2014:</w:t>
      </w:r>
      <w:r w:rsidRPr="00F95ECC">
        <w:t xml:space="preserve"> </w:t>
      </w:r>
      <w:r>
        <w:t>For the f</w:t>
      </w:r>
      <w:r>
        <w:rPr>
          <w:i/>
        </w:rPr>
        <w:t>inal r</w:t>
      </w:r>
      <w:r w:rsidRPr="00F95ECC">
        <w:rPr>
          <w:i/>
        </w:rPr>
        <w:t>eport</w:t>
      </w:r>
      <w:r>
        <w:rPr>
          <w:i/>
        </w:rPr>
        <w:t xml:space="preserve"> on</w:t>
      </w:r>
      <w:r>
        <w:t xml:space="preserve"> </w:t>
      </w:r>
      <w:r>
        <w:rPr>
          <w:i/>
        </w:rPr>
        <w:t xml:space="preserve">the emergence of a new Nordic food culture, </w:t>
      </w:r>
      <w:r>
        <w:t>(Pages 4-70), Copenhagen, Denmark</w:t>
      </w:r>
      <w:r>
        <w:rPr>
          <w:i/>
        </w:rPr>
        <w:t xml:space="preserve">: </w:t>
      </w:r>
      <w:proofErr w:type="spellStart"/>
      <w:r>
        <w:t>Norden</w:t>
      </w:r>
      <w:proofErr w:type="spellEnd"/>
      <w:r>
        <w:t xml:space="preserve">. </w:t>
      </w:r>
      <w:hyperlink r:id="rId20" w:history="1">
        <w:r w:rsidRPr="00DC1323">
          <w:rPr>
            <w:rStyle w:val="Hyperlink"/>
            <w:rFonts w:eastAsiaTheme="minorHAnsi"/>
            <w:i/>
          </w:rPr>
          <w:t xml:space="preserve">http://dx.doi.org/10.6027/ANP2015-723 </w:t>
        </w:r>
      </w:hyperlink>
      <w:r w:rsidRPr="00223600">
        <w:rPr>
          <w:rFonts w:eastAsiaTheme="minorHAnsi"/>
          <w:i/>
        </w:rPr>
        <w:t xml:space="preserve"> </w:t>
      </w:r>
    </w:p>
    <w:p w:rsidR="00B055CB" w:rsidRDefault="00B055CB" w:rsidP="004C7107">
      <w:pPr>
        <w:spacing w:line="480" w:lineRule="auto"/>
        <w:ind w:left="720" w:hanging="720"/>
      </w:pPr>
      <w:r w:rsidRPr="00547944">
        <w:t xml:space="preserve">OECD (2019), </w:t>
      </w:r>
      <w:r w:rsidRPr="00547944">
        <w:rPr>
          <w:i/>
        </w:rPr>
        <w:t>Population</w:t>
      </w:r>
      <w:r w:rsidRPr="00547944">
        <w:t xml:space="preserve"> (indicator). </w:t>
      </w:r>
      <w:r w:rsidRPr="00547944">
        <w:rPr>
          <w:noProof/>
        </w:rPr>
        <w:t>doi</w:t>
      </w:r>
      <w:r w:rsidRPr="00547944">
        <w:t>: 10.1787/d434f82b-en</w:t>
      </w:r>
    </w:p>
    <w:p w:rsidR="00B055CB" w:rsidRDefault="00B055CB" w:rsidP="00C9253B">
      <w:pPr>
        <w:autoSpaceDE w:val="0"/>
        <w:autoSpaceDN w:val="0"/>
        <w:adjustRightInd w:val="0"/>
        <w:spacing w:line="480" w:lineRule="auto"/>
        <w:ind w:left="720" w:hanging="720"/>
        <w:rPr>
          <w:rStyle w:val="Hyperlink"/>
          <w:rFonts w:eastAsiaTheme="minorHAnsi"/>
          <w:i/>
        </w:rPr>
      </w:pPr>
      <w:r w:rsidRPr="00F92174">
        <w:rPr>
          <w:rFonts w:eastAsiaTheme="minorHAnsi"/>
          <w:color w:val="000000"/>
        </w:rPr>
        <w:t>Plowman, S</w:t>
      </w:r>
      <w:r>
        <w:rPr>
          <w:rFonts w:eastAsiaTheme="minorHAnsi"/>
          <w:color w:val="000000"/>
        </w:rPr>
        <w:t>. (April 2019)</w:t>
      </w:r>
      <w:r w:rsidRPr="00F92174">
        <w:rPr>
          <w:rFonts w:eastAsiaTheme="minorHAnsi"/>
          <w:color w:val="000000"/>
        </w:rPr>
        <w:t xml:space="preserve">, "A </w:t>
      </w:r>
      <w:r>
        <w:rPr>
          <w:rFonts w:eastAsiaTheme="minorHAnsi"/>
          <w:color w:val="000000"/>
        </w:rPr>
        <w:t>s</w:t>
      </w:r>
      <w:r w:rsidRPr="00F92174">
        <w:rPr>
          <w:rFonts w:eastAsiaTheme="minorHAnsi"/>
          <w:color w:val="000000"/>
        </w:rPr>
        <w:t xml:space="preserve">trategic </w:t>
      </w:r>
      <w:r>
        <w:rPr>
          <w:rFonts w:eastAsiaTheme="minorHAnsi"/>
          <w:color w:val="000000"/>
        </w:rPr>
        <w:t>a</w:t>
      </w:r>
      <w:r w:rsidRPr="00F92174">
        <w:rPr>
          <w:rFonts w:eastAsiaTheme="minorHAnsi"/>
          <w:color w:val="000000"/>
        </w:rPr>
        <w:t>udit of</w:t>
      </w:r>
      <w:r>
        <w:rPr>
          <w:rFonts w:eastAsiaTheme="minorHAnsi"/>
          <w:color w:val="000000"/>
        </w:rPr>
        <w:t xml:space="preserve"> Chipotle Mexican Grill, Inc." </w:t>
      </w:r>
      <w:r w:rsidRPr="00F92174">
        <w:rPr>
          <w:rFonts w:eastAsiaTheme="minorHAnsi"/>
          <w:i/>
          <w:iCs/>
          <w:color w:val="000000"/>
        </w:rPr>
        <w:t>Honors Theses, University of Nebraska-Lincoln</w:t>
      </w:r>
      <w:r>
        <w:rPr>
          <w:rFonts w:eastAsiaTheme="minorHAnsi"/>
          <w:i/>
          <w:iCs/>
          <w:color w:val="000000"/>
        </w:rPr>
        <w:t>,</w:t>
      </w:r>
      <w:r w:rsidRPr="00F92174">
        <w:rPr>
          <w:rFonts w:eastAsiaTheme="minorHAnsi"/>
          <w:color w:val="000000"/>
        </w:rPr>
        <w:t xml:space="preserve"> </w:t>
      </w:r>
      <w:r>
        <w:rPr>
          <w:rFonts w:eastAsiaTheme="minorHAnsi"/>
          <w:color w:val="000000"/>
        </w:rPr>
        <w:t xml:space="preserve">Issue </w:t>
      </w:r>
      <w:r w:rsidRPr="00F92174">
        <w:rPr>
          <w:rFonts w:eastAsiaTheme="minorHAnsi"/>
          <w:color w:val="000000"/>
        </w:rPr>
        <w:t>141</w:t>
      </w:r>
      <w:r>
        <w:rPr>
          <w:rFonts w:eastAsiaTheme="minorHAnsi"/>
          <w:color w:val="000000"/>
        </w:rPr>
        <w:t xml:space="preserve"> </w:t>
      </w:r>
      <w:hyperlink r:id="rId21" w:history="1">
        <w:r w:rsidRPr="009F688B">
          <w:rPr>
            <w:rStyle w:val="Hyperlink"/>
            <w:rFonts w:eastAsiaTheme="minorHAnsi"/>
            <w:i/>
          </w:rPr>
          <w:t>https://digitalcommons.unl.edu/honorstheses/141</w:t>
        </w:r>
      </w:hyperlink>
    </w:p>
    <w:p w:rsidR="00B055CB" w:rsidRPr="00AE4F0A" w:rsidRDefault="00B055CB" w:rsidP="00AE4F0A">
      <w:pPr>
        <w:spacing w:line="480" w:lineRule="auto"/>
        <w:ind w:left="720" w:hanging="720"/>
        <w:rPr>
          <w:rStyle w:val="Hyperlink"/>
          <w:i/>
        </w:rPr>
      </w:pPr>
      <w:proofErr w:type="spellStart"/>
      <w:r>
        <w:t>Rehn</w:t>
      </w:r>
      <w:proofErr w:type="spellEnd"/>
      <w:r>
        <w:t xml:space="preserve">, C., </w:t>
      </w:r>
      <w:proofErr w:type="spellStart"/>
      <w:r>
        <w:t>Kindgren-Bengtsson</w:t>
      </w:r>
      <w:proofErr w:type="spellEnd"/>
      <w:r>
        <w:t xml:space="preserve">, C., </w:t>
      </w:r>
      <w:proofErr w:type="spellStart"/>
      <w:r>
        <w:t>Myrén</w:t>
      </w:r>
      <w:proofErr w:type="spellEnd"/>
      <w:r>
        <w:t xml:space="preserve">, J. &amp; </w:t>
      </w:r>
      <w:proofErr w:type="spellStart"/>
      <w:r>
        <w:t>Norderyd</w:t>
      </w:r>
      <w:proofErr w:type="spellEnd"/>
      <w:r>
        <w:t xml:space="preserve">, J., </w:t>
      </w:r>
      <w:proofErr w:type="spellStart"/>
      <w:r>
        <w:t>Lindahl</w:t>
      </w:r>
      <w:proofErr w:type="spellEnd"/>
      <w:r>
        <w:t>, A.</w:t>
      </w:r>
      <w:r w:rsidRPr="00AE4F0A">
        <w:t xml:space="preserve"> </w:t>
      </w:r>
      <w:r>
        <w:t xml:space="preserve">(2019, February 1). </w:t>
      </w:r>
      <w:r w:rsidRPr="00AE4F0A">
        <w:rPr>
          <w:i/>
        </w:rPr>
        <w:t>Doing business in Sweden: Overview,</w:t>
      </w:r>
      <w:r>
        <w:t xml:space="preserve"> London, UK: Thomson-Reuters</w:t>
      </w:r>
    </w:p>
    <w:p w:rsidR="00B055CB" w:rsidRPr="004F3631" w:rsidRDefault="00B055CB" w:rsidP="004C7107">
      <w:pPr>
        <w:spacing w:line="480" w:lineRule="auto"/>
        <w:ind w:left="720" w:hanging="720"/>
      </w:pPr>
      <w:r>
        <w:lastRenderedPageBreak/>
        <w:t xml:space="preserve">SEC. (2018, December 31). </w:t>
      </w:r>
      <w:r>
        <w:rPr>
          <w:i/>
        </w:rPr>
        <w:t xml:space="preserve">Chipotle Mexican Grill, Inc. Form 10-K, </w:t>
      </w:r>
      <w:r>
        <w:t>Washington, DC.: AUTHOR</w:t>
      </w:r>
    </w:p>
    <w:p w:rsidR="00B055CB" w:rsidRDefault="00B055CB" w:rsidP="00C9253B">
      <w:pPr>
        <w:autoSpaceDE w:val="0"/>
        <w:autoSpaceDN w:val="0"/>
        <w:adjustRightInd w:val="0"/>
        <w:spacing w:line="480" w:lineRule="auto"/>
        <w:ind w:left="720" w:hanging="720"/>
      </w:pPr>
      <w:r>
        <w:t xml:space="preserve">SICCODE.com. </w:t>
      </w:r>
      <w:r w:rsidRPr="00357B62">
        <w:t>(2019).</w:t>
      </w:r>
      <w:r w:rsidRPr="00547944">
        <w:t xml:space="preserve"> </w:t>
      </w:r>
      <w:r w:rsidRPr="00547944">
        <w:rPr>
          <w:i/>
        </w:rPr>
        <w:t>Chi</w:t>
      </w:r>
      <w:r>
        <w:rPr>
          <w:i/>
        </w:rPr>
        <w:t xml:space="preserve">potle Mexican Grill, Inc. </w:t>
      </w:r>
      <w:r w:rsidRPr="00547944">
        <w:t>AUTHOR</w:t>
      </w:r>
      <w:r>
        <w:t>. Retrieved from</w:t>
      </w:r>
      <w:r w:rsidRPr="00215AF3">
        <w:t xml:space="preserve"> </w:t>
      </w:r>
      <w:hyperlink r:id="rId22" w:history="1">
        <w:r w:rsidRPr="00215AF3">
          <w:rPr>
            <w:rStyle w:val="Hyperlink"/>
            <w:i/>
          </w:rPr>
          <w:t>www.siccode.com/business/chipotle-mexican-grill-inc</w:t>
        </w:r>
      </w:hyperlink>
    </w:p>
    <w:p w:rsidR="00B055CB" w:rsidRDefault="00B055CB" w:rsidP="00AE4F0A">
      <w:pPr>
        <w:spacing w:line="480" w:lineRule="auto"/>
        <w:ind w:left="720" w:hanging="720"/>
        <w:rPr>
          <w:rStyle w:val="Hyperlink"/>
          <w:i/>
        </w:rPr>
      </w:pPr>
      <w:r w:rsidRPr="00547944">
        <w:t xml:space="preserve">Solberg, S. (2018, February 23). “Norway implements new rules controlling foreign ownership,” </w:t>
      </w:r>
      <w:r w:rsidRPr="00547944">
        <w:rPr>
          <w:i/>
        </w:rPr>
        <w:t xml:space="preserve">The Global Compliance News, </w:t>
      </w:r>
      <w:r w:rsidRPr="00547944">
        <w:t>Retrieved from</w:t>
      </w:r>
      <w:r w:rsidRPr="00547944">
        <w:rPr>
          <w:i/>
        </w:rPr>
        <w:t xml:space="preserve"> </w:t>
      </w:r>
      <w:hyperlink r:id="rId23" w:history="1">
        <w:r w:rsidRPr="00547944">
          <w:rPr>
            <w:rStyle w:val="Hyperlink"/>
            <w:i/>
          </w:rPr>
          <w:t>www.globalcompliancenews.com/norway-foreign-ownership-20180223/</w:t>
        </w:r>
      </w:hyperlink>
    </w:p>
    <w:p w:rsidR="00B055CB" w:rsidRPr="00072570" w:rsidRDefault="00B055CB" w:rsidP="00072570">
      <w:pPr>
        <w:spacing w:line="480" w:lineRule="auto"/>
        <w:ind w:left="720" w:hanging="720"/>
        <w:rPr>
          <w:i/>
        </w:rPr>
      </w:pPr>
      <w:r>
        <w:t xml:space="preserve">Statistic Norway. (2019, November 20). “Key figure for the population,” </w:t>
      </w:r>
      <w:r>
        <w:rPr>
          <w:i/>
        </w:rPr>
        <w:t>AUTHOR.</w:t>
      </w:r>
      <w:r w:rsidRPr="00072570">
        <w:t xml:space="preserve"> </w:t>
      </w:r>
      <w:hyperlink r:id="rId24" w:history="1">
        <w:r w:rsidRPr="00072570">
          <w:rPr>
            <w:rStyle w:val="Hyperlink"/>
            <w:i/>
          </w:rPr>
          <w:t>www.ssb.no/en/befolkning/nokkeltall/population</w:t>
        </w:r>
      </w:hyperlink>
    </w:p>
    <w:p w:rsidR="00B055CB" w:rsidRPr="00CF6F98" w:rsidRDefault="00B055CB" w:rsidP="00CF6F98">
      <w:pPr>
        <w:spacing w:line="480" w:lineRule="auto"/>
        <w:ind w:left="720" w:hanging="720"/>
        <w:rPr>
          <w:i/>
        </w:rPr>
      </w:pPr>
      <w:r>
        <w:t xml:space="preserve">U.S. Department of State. (2015 May). </w:t>
      </w:r>
      <w:r>
        <w:rPr>
          <w:i/>
        </w:rPr>
        <w:t xml:space="preserve">2015 Investment climate survey-Norway, </w:t>
      </w:r>
      <w:r>
        <w:t xml:space="preserve">Washington, DC: AUTHOR. Retrieved from </w:t>
      </w:r>
      <w:r w:rsidRPr="00CF6F98">
        <w:t xml:space="preserve"> </w:t>
      </w:r>
      <w:hyperlink r:id="rId25" w:history="1">
        <w:r w:rsidRPr="00CF6F98">
          <w:rPr>
            <w:rStyle w:val="Hyperlink"/>
            <w:i/>
          </w:rPr>
          <w:t>https://2009-2017.state.gov/e/eb/rls/othr/ics/2015/241690.htm</w:t>
        </w:r>
      </w:hyperlink>
    </w:p>
    <w:p w:rsidR="00B055CB" w:rsidRDefault="00B055CB" w:rsidP="0009446A">
      <w:pPr>
        <w:autoSpaceDE w:val="0"/>
        <w:autoSpaceDN w:val="0"/>
        <w:adjustRightInd w:val="0"/>
        <w:spacing w:line="480" w:lineRule="auto"/>
        <w:ind w:left="720" w:hanging="720"/>
      </w:pPr>
      <w:r>
        <w:t>Weather Online. (</w:t>
      </w:r>
      <w:proofErr w:type="spellStart"/>
      <w:r>
        <w:t>n.d.</w:t>
      </w:r>
      <w:proofErr w:type="spellEnd"/>
      <w:r>
        <w:t xml:space="preserve">). </w:t>
      </w:r>
      <w:r>
        <w:rPr>
          <w:i/>
        </w:rPr>
        <w:t xml:space="preserve">Climate of the world. </w:t>
      </w:r>
      <w:r>
        <w:t xml:space="preserve">Retrieved from </w:t>
      </w:r>
      <w:hyperlink r:id="rId26" w:history="1">
        <w:r w:rsidRPr="00DC1323">
          <w:rPr>
            <w:rStyle w:val="Hyperlink"/>
            <w:i/>
          </w:rPr>
          <w:t>www.weatheronline.co.uk/reports/climate/Sweden.htm</w:t>
        </w:r>
      </w:hyperlink>
    </w:p>
    <w:p w:rsidR="00B055CB" w:rsidRDefault="00B055CB" w:rsidP="00101135">
      <w:pPr>
        <w:autoSpaceDE w:val="0"/>
        <w:autoSpaceDN w:val="0"/>
        <w:adjustRightInd w:val="0"/>
        <w:spacing w:line="480" w:lineRule="auto"/>
        <w:ind w:left="720" w:hanging="720"/>
        <w:rPr>
          <w:rFonts w:eastAsiaTheme="minorHAnsi"/>
          <w:i/>
          <w:color w:val="0000FF" w:themeColor="hyperlink"/>
          <w:u w:val="single"/>
        </w:rPr>
      </w:pPr>
      <w:hyperlink r:id="rId27" w:history="1">
        <w:r w:rsidRPr="003F0C37">
          <w:rPr>
            <w:rStyle w:val="Hyperlink"/>
            <w:color w:val="auto"/>
            <w:u w:val="none"/>
          </w:rPr>
          <w:t>Whitten</w:t>
        </w:r>
      </w:hyperlink>
      <w:r>
        <w:t>, S. (2018, May 23). “</w:t>
      </w:r>
      <w:r w:rsidRPr="003F0C37">
        <w:t>Chipotle to close Denver, New York offices and move headquarters to Southern California</w:t>
      </w:r>
      <w:r>
        <w:t xml:space="preserve">,” </w:t>
      </w:r>
      <w:r>
        <w:rPr>
          <w:i/>
        </w:rPr>
        <w:t xml:space="preserve">The CBNC, </w:t>
      </w:r>
      <w:r>
        <w:tab/>
        <w:t xml:space="preserve">Retrieved from </w:t>
      </w:r>
      <w:hyperlink r:id="rId28" w:history="1">
        <w:r w:rsidRPr="00991B8A">
          <w:rPr>
            <w:rStyle w:val="Hyperlink"/>
            <w:i/>
          </w:rPr>
          <w:t>www.cnbc.com/2018/05/23/chipotle-closing-denver-new-york-offices-moving-to-california.html</w:t>
        </w:r>
      </w:hyperlink>
    </w:p>
    <w:p w:rsidR="00B055CB" w:rsidRDefault="00B055CB" w:rsidP="0009446A">
      <w:pPr>
        <w:autoSpaceDE w:val="0"/>
        <w:autoSpaceDN w:val="0"/>
        <w:adjustRightInd w:val="0"/>
        <w:spacing w:line="480" w:lineRule="auto"/>
        <w:ind w:left="720" w:hanging="720"/>
      </w:pPr>
      <w:r w:rsidRPr="00547944">
        <w:t xml:space="preserve">World Bank. (2019). </w:t>
      </w:r>
      <w:r>
        <w:rPr>
          <w:i/>
        </w:rPr>
        <w:t>Economic Data</w:t>
      </w:r>
      <w:r w:rsidRPr="00547944">
        <w:rPr>
          <w:i/>
        </w:rPr>
        <w:t xml:space="preserve">, </w:t>
      </w:r>
      <w:r w:rsidRPr="00547944">
        <w:t>Washington, DC</w:t>
      </w:r>
    </w:p>
    <w:p w:rsidR="003F0C37" w:rsidRDefault="003F0C37" w:rsidP="004C7107">
      <w:pPr>
        <w:autoSpaceDE w:val="0"/>
        <w:autoSpaceDN w:val="0"/>
        <w:adjustRightInd w:val="0"/>
        <w:spacing w:line="480" w:lineRule="auto"/>
        <w:ind w:left="720" w:hanging="720"/>
        <w:rPr>
          <w:rFonts w:eastAsiaTheme="minorHAnsi"/>
          <w:i/>
          <w:color w:val="316192"/>
        </w:rPr>
      </w:pPr>
    </w:p>
    <w:p w:rsidR="00611C19" w:rsidRDefault="00611C19" w:rsidP="00611C19">
      <w:pPr>
        <w:jc w:val="center"/>
      </w:pPr>
      <w:bookmarkStart w:id="7" w:name="_Toc26150121"/>
    </w:p>
    <w:p w:rsidR="00611C19" w:rsidRDefault="00611C19" w:rsidP="00611C19">
      <w:pPr>
        <w:jc w:val="center"/>
      </w:pPr>
    </w:p>
    <w:p w:rsidR="00611C19" w:rsidRDefault="00611C19" w:rsidP="00611C19">
      <w:pPr>
        <w:jc w:val="center"/>
      </w:pPr>
    </w:p>
    <w:p w:rsidR="00611C19" w:rsidRDefault="00611C19" w:rsidP="00611C19">
      <w:pPr>
        <w:jc w:val="center"/>
      </w:pPr>
    </w:p>
    <w:p w:rsidR="00611C19" w:rsidRDefault="00611C19" w:rsidP="00611C19">
      <w:pPr>
        <w:jc w:val="center"/>
      </w:pPr>
    </w:p>
    <w:p w:rsidR="00611C19" w:rsidRDefault="00611C19" w:rsidP="00611C19">
      <w:pPr>
        <w:jc w:val="center"/>
      </w:pPr>
    </w:p>
    <w:p w:rsidR="00611C19" w:rsidRDefault="00611C19" w:rsidP="00611C19">
      <w:pPr>
        <w:jc w:val="center"/>
      </w:pPr>
    </w:p>
    <w:p w:rsidR="00CE3DAF" w:rsidRPr="00CC4F5C" w:rsidRDefault="00CE3DAF" w:rsidP="00611C19">
      <w:pPr>
        <w:jc w:val="center"/>
      </w:pPr>
      <w:r w:rsidRPr="00CC4F5C">
        <w:t>Appendixes</w:t>
      </w:r>
      <w:bookmarkEnd w:id="7"/>
    </w:p>
    <w:p w:rsidR="001F25DC" w:rsidRDefault="001F25DC" w:rsidP="001F25DC">
      <w:pPr>
        <w:keepNext/>
        <w:spacing w:line="480" w:lineRule="auto"/>
      </w:pPr>
      <w:r>
        <w:rPr>
          <w:noProof/>
        </w:rPr>
        <w:drawing>
          <wp:inline distT="0" distB="0" distL="0" distR="0" wp14:anchorId="4923FF8A" wp14:editId="050F2236">
            <wp:extent cx="5953125" cy="2322195"/>
            <wp:effectExtent l="0" t="0" r="952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53125" cy="2322195"/>
                    </a:xfrm>
                    <a:prstGeom prst="rect">
                      <a:avLst/>
                    </a:prstGeom>
                  </pic:spPr>
                </pic:pic>
              </a:graphicData>
            </a:graphic>
          </wp:inline>
        </w:drawing>
      </w:r>
    </w:p>
    <w:p w:rsidR="00CE3DAF" w:rsidRPr="001801C7" w:rsidRDefault="001F25DC" w:rsidP="001F25DC">
      <w:pPr>
        <w:pStyle w:val="Caption"/>
        <w:rPr>
          <w:b w:val="0"/>
          <w:i/>
          <w:color w:val="auto"/>
          <w:sz w:val="24"/>
          <w:szCs w:val="24"/>
        </w:rPr>
      </w:pPr>
      <w:r w:rsidRPr="001801C7">
        <w:rPr>
          <w:b w:val="0"/>
          <w:i/>
          <w:color w:val="auto"/>
          <w:sz w:val="24"/>
          <w:szCs w:val="24"/>
        </w:rPr>
        <w:t xml:space="preserve">Figure </w:t>
      </w:r>
      <w:r w:rsidRPr="001801C7">
        <w:rPr>
          <w:b w:val="0"/>
          <w:i/>
          <w:color w:val="auto"/>
          <w:sz w:val="24"/>
          <w:szCs w:val="24"/>
        </w:rPr>
        <w:fldChar w:fldCharType="begin"/>
      </w:r>
      <w:r w:rsidRPr="001801C7">
        <w:rPr>
          <w:b w:val="0"/>
          <w:i/>
          <w:color w:val="auto"/>
          <w:sz w:val="24"/>
          <w:szCs w:val="24"/>
        </w:rPr>
        <w:instrText xml:space="preserve"> SEQ Figure \* ARABIC </w:instrText>
      </w:r>
      <w:r w:rsidRPr="001801C7">
        <w:rPr>
          <w:b w:val="0"/>
          <w:i/>
          <w:color w:val="auto"/>
          <w:sz w:val="24"/>
          <w:szCs w:val="24"/>
        </w:rPr>
        <w:fldChar w:fldCharType="separate"/>
      </w:r>
      <w:r w:rsidRPr="001801C7">
        <w:rPr>
          <w:b w:val="0"/>
          <w:i/>
          <w:noProof/>
          <w:color w:val="auto"/>
          <w:sz w:val="24"/>
          <w:szCs w:val="24"/>
        </w:rPr>
        <w:t>1</w:t>
      </w:r>
      <w:r w:rsidRPr="001801C7">
        <w:rPr>
          <w:b w:val="0"/>
          <w:i/>
          <w:color w:val="auto"/>
          <w:sz w:val="24"/>
          <w:szCs w:val="24"/>
        </w:rPr>
        <w:fldChar w:fldCharType="end"/>
      </w:r>
      <w:r w:rsidRPr="001801C7">
        <w:rPr>
          <w:b w:val="0"/>
          <w:i/>
          <w:color w:val="auto"/>
          <w:sz w:val="24"/>
          <w:szCs w:val="24"/>
        </w:rPr>
        <w:t>: Aerial View of Chipotle's New Head Office</w:t>
      </w:r>
    </w:p>
    <w:p w:rsidR="00501592" w:rsidRDefault="000C7C88" w:rsidP="00F92174">
      <w:pPr>
        <w:spacing w:line="480" w:lineRule="auto"/>
        <w:rPr>
          <w:noProof/>
        </w:rPr>
      </w:pPr>
      <w:r>
        <w:t xml:space="preserve">(Source: </w:t>
      </w:r>
      <w:r w:rsidR="00662BAB">
        <w:rPr>
          <w:noProof/>
        </w:rPr>
        <w:t>Chipotle.com, 2019)</w:t>
      </w:r>
    </w:p>
    <w:p w:rsidR="008F6E77" w:rsidRDefault="008F6E77" w:rsidP="00F92174">
      <w:pPr>
        <w:spacing w:line="480" w:lineRule="auto"/>
        <w:rPr>
          <w:noProof/>
        </w:rPr>
      </w:pPr>
      <w:r>
        <w:rPr>
          <w:noProof/>
        </w:rPr>
        <w:drawing>
          <wp:inline distT="0" distB="0" distL="0" distR="0" wp14:anchorId="4428C6C9" wp14:editId="35383BA9">
            <wp:extent cx="4391025" cy="37909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391025" cy="3790950"/>
                    </a:xfrm>
                    <a:prstGeom prst="rect">
                      <a:avLst/>
                    </a:prstGeom>
                  </pic:spPr>
                </pic:pic>
              </a:graphicData>
            </a:graphic>
          </wp:inline>
        </w:drawing>
      </w:r>
    </w:p>
    <w:p w:rsidR="00662BAB" w:rsidRPr="00CC4F5C" w:rsidRDefault="00662BAB" w:rsidP="00F92174">
      <w:pPr>
        <w:spacing w:line="480" w:lineRule="auto"/>
      </w:pPr>
    </w:p>
    <w:sectPr w:rsidR="00662BAB" w:rsidRPr="00CC4F5C" w:rsidSect="008A09CD">
      <w:headerReference w:type="default" r:id="rId31"/>
      <w:headerReference w:type="first" r:id="rId3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977" w:rsidRDefault="002B1977" w:rsidP="008A09CD">
      <w:r>
        <w:separator/>
      </w:r>
    </w:p>
  </w:endnote>
  <w:endnote w:type="continuationSeparator" w:id="0">
    <w:p w:rsidR="002B1977" w:rsidRDefault="002B1977" w:rsidP="008A0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977" w:rsidRDefault="002B1977" w:rsidP="008A09CD">
      <w:r>
        <w:separator/>
      </w:r>
    </w:p>
  </w:footnote>
  <w:footnote w:type="continuationSeparator" w:id="0">
    <w:p w:rsidR="002B1977" w:rsidRDefault="002B1977" w:rsidP="008A09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39A" w:rsidRDefault="0059539A">
    <w:pPr>
      <w:pStyle w:val="Header"/>
    </w:pPr>
    <w:r>
      <w:t xml:space="preserve">ASSESSMENT OF CHIPOTLE IN SWEDEN AND NORWAY </w:t>
    </w:r>
    <w:r>
      <w:tab/>
    </w:r>
    <w:r>
      <w:tab/>
    </w:r>
    <w:r>
      <w:fldChar w:fldCharType="begin"/>
    </w:r>
    <w:r>
      <w:instrText xml:space="preserve"> PAGE   \* MERGEFORMAT </w:instrText>
    </w:r>
    <w:r>
      <w:fldChar w:fldCharType="separate"/>
    </w:r>
    <w:r w:rsidR="00B2575D">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39A" w:rsidRDefault="0059539A">
    <w:pPr>
      <w:pStyle w:val="Header"/>
    </w:pPr>
    <w:r>
      <w:t xml:space="preserve">Running Head: ASSESSMENT OF CHIPOTLE IN SWEDEN AND NORWAY </w:t>
    </w:r>
    <w:r>
      <w:tab/>
    </w:r>
    <w:r>
      <w:tab/>
      <w:t xml:space="preserve"> </w:t>
    </w:r>
    <w:r>
      <w:fldChar w:fldCharType="begin"/>
    </w:r>
    <w:r>
      <w:instrText xml:space="preserve"> PAGE   \* MERGEFORMAT </w:instrText>
    </w:r>
    <w:r>
      <w:fldChar w:fldCharType="separate"/>
    </w:r>
    <w:r w:rsidR="00B2575D">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20CF928"/>
    <w:lvl w:ilvl="0">
      <w:numFmt w:val="decimal"/>
      <w:lvlText w:val="*"/>
      <w:lvlJc w:val="left"/>
    </w:lvl>
  </w:abstractNum>
  <w:abstractNum w:abstractNumId="1">
    <w:nsid w:val="1AFE3C5E"/>
    <w:multiLevelType w:val="hybridMultilevel"/>
    <w:tmpl w:val="34A06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4D09CC"/>
    <w:multiLevelType w:val="multilevel"/>
    <w:tmpl w:val="32BE0B0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1ED50B91"/>
    <w:multiLevelType w:val="hybridMultilevel"/>
    <w:tmpl w:val="30720496"/>
    <w:lvl w:ilvl="0" w:tplc="E67A5194">
      <w:start w:val="1"/>
      <w:numFmt w:val="upperRoman"/>
      <w:lvlText w:val="%1."/>
      <w:lvlJc w:val="left"/>
      <w:pPr>
        <w:tabs>
          <w:tab w:val="num" w:pos="360"/>
        </w:tabs>
        <w:ind w:left="360" w:hanging="360"/>
      </w:pPr>
      <w:rPr>
        <w:rFonts w:hint="default"/>
      </w:rPr>
    </w:lvl>
    <w:lvl w:ilvl="1" w:tplc="0D9677CE">
      <w:start w:val="4"/>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4A5A2F79"/>
    <w:multiLevelType w:val="multilevel"/>
    <w:tmpl w:val="32BE0B0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2MDcxsDQ0tDSwMDNR0lEKTi0uzszPAykwrAUAOEx1jSwAAAA="/>
  </w:docVars>
  <w:rsids>
    <w:rsidRoot w:val="00CE3DAF"/>
    <w:rsid w:val="00001A87"/>
    <w:rsid w:val="00015BC3"/>
    <w:rsid w:val="00016113"/>
    <w:rsid w:val="00020042"/>
    <w:rsid w:val="00031FB1"/>
    <w:rsid w:val="000340E1"/>
    <w:rsid w:val="0004758F"/>
    <w:rsid w:val="000542EE"/>
    <w:rsid w:val="00054A17"/>
    <w:rsid w:val="00054F85"/>
    <w:rsid w:val="00057599"/>
    <w:rsid w:val="00072570"/>
    <w:rsid w:val="00074270"/>
    <w:rsid w:val="00075BEA"/>
    <w:rsid w:val="00076763"/>
    <w:rsid w:val="00077CF8"/>
    <w:rsid w:val="000802BB"/>
    <w:rsid w:val="000810E0"/>
    <w:rsid w:val="00083E12"/>
    <w:rsid w:val="00090091"/>
    <w:rsid w:val="00091891"/>
    <w:rsid w:val="00091CCC"/>
    <w:rsid w:val="00093624"/>
    <w:rsid w:val="0009446A"/>
    <w:rsid w:val="000A1CA6"/>
    <w:rsid w:val="000A35A2"/>
    <w:rsid w:val="000A39BA"/>
    <w:rsid w:val="000A41F3"/>
    <w:rsid w:val="000A7ABC"/>
    <w:rsid w:val="000B447F"/>
    <w:rsid w:val="000B4E65"/>
    <w:rsid w:val="000B5DA0"/>
    <w:rsid w:val="000C7C88"/>
    <w:rsid w:val="000D4641"/>
    <w:rsid w:val="000D6032"/>
    <w:rsid w:val="000E64CA"/>
    <w:rsid w:val="000F0506"/>
    <w:rsid w:val="000F22E3"/>
    <w:rsid w:val="000F4B58"/>
    <w:rsid w:val="000F7F4B"/>
    <w:rsid w:val="00101135"/>
    <w:rsid w:val="001014DF"/>
    <w:rsid w:val="00113A29"/>
    <w:rsid w:val="001248E9"/>
    <w:rsid w:val="0013304B"/>
    <w:rsid w:val="0013604B"/>
    <w:rsid w:val="00136C28"/>
    <w:rsid w:val="00144035"/>
    <w:rsid w:val="001448B5"/>
    <w:rsid w:val="001457F7"/>
    <w:rsid w:val="001545AF"/>
    <w:rsid w:val="0015763F"/>
    <w:rsid w:val="00157D9C"/>
    <w:rsid w:val="00160997"/>
    <w:rsid w:val="00165710"/>
    <w:rsid w:val="00167B81"/>
    <w:rsid w:val="00167C68"/>
    <w:rsid w:val="001758C6"/>
    <w:rsid w:val="001801C7"/>
    <w:rsid w:val="001805C7"/>
    <w:rsid w:val="0018405C"/>
    <w:rsid w:val="00190C9A"/>
    <w:rsid w:val="001913D9"/>
    <w:rsid w:val="00193A29"/>
    <w:rsid w:val="0019443F"/>
    <w:rsid w:val="0019586A"/>
    <w:rsid w:val="001A1A6A"/>
    <w:rsid w:val="001B2506"/>
    <w:rsid w:val="001C3026"/>
    <w:rsid w:val="001D18D7"/>
    <w:rsid w:val="001D70DA"/>
    <w:rsid w:val="001D74BE"/>
    <w:rsid w:val="001E1867"/>
    <w:rsid w:val="001E4EE4"/>
    <w:rsid w:val="001F16A0"/>
    <w:rsid w:val="001F25DC"/>
    <w:rsid w:val="001F4807"/>
    <w:rsid w:val="001F4982"/>
    <w:rsid w:val="001F5687"/>
    <w:rsid w:val="001F7A7A"/>
    <w:rsid w:val="0020220D"/>
    <w:rsid w:val="002048F5"/>
    <w:rsid w:val="002051A2"/>
    <w:rsid w:val="00206F1D"/>
    <w:rsid w:val="00207462"/>
    <w:rsid w:val="00215AF3"/>
    <w:rsid w:val="002202F7"/>
    <w:rsid w:val="00221B69"/>
    <w:rsid w:val="00223600"/>
    <w:rsid w:val="00223CA2"/>
    <w:rsid w:val="00223FCC"/>
    <w:rsid w:val="002243FF"/>
    <w:rsid w:val="002244F2"/>
    <w:rsid w:val="00224D38"/>
    <w:rsid w:val="00227284"/>
    <w:rsid w:val="002331A9"/>
    <w:rsid w:val="0023336B"/>
    <w:rsid w:val="00236CEF"/>
    <w:rsid w:val="00243454"/>
    <w:rsid w:val="002502AD"/>
    <w:rsid w:val="00250757"/>
    <w:rsid w:val="002526AC"/>
    <w:rsid w:val="00254C84"/>
    <w:rsid w:val="00255FC4"/>
    <w:rsid w:val="00257C3A"/>
    <w:rsid w:val="00261103"/>
    <w:rsid w:val="00265EF0"/>
    <w:rsid w:val="00271BD0"/>
    <w:rsid w:val="0027226C"/>
    <w:rsid w:val="00283C0E"/>
    <w:rsid w:val="00294030"/>
    <w:rsid w:val="002A7575"/>
    <w:rsid w:val="002A7C1C"/>
    <w:rsid w:val="002B0EAC"/>
    <w:rsid w:val="002B1977"/>
    <w:rsid w:val="002B535B"/>
    <w:rsid w:val="002C00A8"/>
    <w:rsid w:val="002C0A67"/>
    <w:rsid w:val="002C0E38"/>
    <w:rsid w:val="002C4EE2"/>
    <w:rsid w:val="002C7092"/>
    <w:rsid w:val="002D52B3"/>
    <w:rsid w:val="002E18D0"/>
    <w:rsid w:val="002E36C2"/>
    <w:rsid w:val="002E4AC5"/>
    <w:rsid w:val="002E62EA"/>
    <w:rsid w:val="002F4053"/>
    <w:rsid w:val="002F4146"/>
    <w:rsid w:val="002F5116"/>
    <w:rsid w:val="00300151"/>
    <w:rsid w:val="0030030A"/>
    <w:rsid w:val="00312648"/>
    <w:rsid w:val="0031381A"/>
    <w:rsid w:val="00314491"/>
    <w:rsid w:val="00315BF7"/>
    <w:rsid w:val="00321912"/>
    <w:rsid w:val="00327628"/>
    <w:rsid w:val="003343B8"/>
    <w:rsid w:val="00335E21"/>
    <w:rsid w:val="00355399"/>
    <w:rsid w:val="00355D46"/>
    <w:rsid w:val="003570E5"/>
    <w:rsid w:val="00357B62"/>
    <w:rsid w:val="003622B6"/>
    <w:rsid w:val="00367AF3"/>
    <w:rsid w:val="00371B1D"/>
    <w:rsid w:val="00376891"/>
    <w:rsid w:val="00377E40"/>
    <w:rsid w:val="00382A00"/>
    <w:rsid w:val="00382F84"/>
    <w:rsid w:val="00386441"/>
    <w:rsid w:val="0039025C"/>
    <w:rsid w:val="00392436"/>
    <w:rsid w:val="0039506A"/>
    <w:rsid w:val="003A14FF"/>
    <w:rsid w:val="003B133B"/>
    <w:rsid w:val="003B1C3C"/>
    <w:rsid w:val="003B62C5"/>
    <w:rsid w:val="003C3991"/>
    <w:rsid w:val="003C6EDE"/>
    <w:rsid w:val="003C7F64"/>
    <w:rsid w:val="003D6F56"/>
    <w:rsid w:val="003D7CDC"/>
    <w:rsid w:val="003F0C37"/>
    <w:rsid w:val="00402891"/>
    <w:rsid w:val="004053B5"/>
    <w:rsid w:val="004179E4"/>
    <w:rsid w:val="00422052"/>
    <w:rsid w:val="004226B3"/>
    <w:rsid w:val="0042688D"/>
    <w:rsid w:val="004353F8"/>
    <w:rsid w:val="00436485"/>
    <w:rsid w:val="004463C3"/>
    <w:rsid w:val="00452F0C"/>
    <w:rsid w:val="00464045"/>
    <w:rsid w:val="00480898"/>
    <w:rsid w:val="00486CB6"/>
    <w:rsid w:val="0049012C"/>
    <w:rsid w:val="0049034A"/>
    <w:rsid w:val="00495ABE"/>
    <w:rsid w:val="004A1D29"/>
    <w:rsid w:val="004A4830"/>
    <w:rsid w:val="004A5594"/>
    <w:rsid w:val="004B3250"/>
    <w:rsid w:val="004B32D2"/>
    <w:rsid w:val="004B6237"/>
    <w:rsid w:val="004B7D42"/>
    <w:rsid w:val="004C2E3A"/>
    <w:rsid w:val="004C469C"/>
    <w:rsid w:val="004C5307"/>
    <w:rsid w:val="004C7107"/>
    <w:rsid w:val="004D74B1"/>
    <w:rsid w:val="004D787B"/>
    <w:rsid w:val="004E1248"/>
    <w:rsid w:val="004E6673"/>
    <w:rsid w:val="004E7CE9"/>
    <w:rsid w:val="004F3631"/>
    <w:rsid w:val="004F3684"/>
    <w:rsid w:val="00501592"/>
    <w:rsid w:val="0050304D"/>
    <w:rsid w:val="00506878"/>
    <w:rsid w:val="00507B44"/>
    <w:rsid w:val="00512878"/>
    <w:rsid w:val="005223C8"/>
    <w:rsid w:val="00523845"/>
    <w:rsid w:val="00526A5A"/>
    <w:rsid w:val="005304BF"/>
    <w:rsid w:val="00542BF6"/>
    <w:rsid w:val="0054505A"/>
    <w:rsid w:val="00547897"/>
    <w:rsid w:val="00553D6E"/>
    <w:rsid w:val="00556B93"/>
    <w:rsid w:val="00556BE9"/>
    <w:rsid w:val="00563684"/>
    <w:rsid w:val="0056501F"/>
    <w:rsid w:val="0056686A"/>
    <w:rsid w:val="00566D84"/>
    <w:rsid w:val="00567625"/>
    <w:rsid w:val="0057242C"/>
    <w:rsid w:val="005739ED"/>
    <w:rsid w:val="00577A0E"/>
    <w:rsid w:val="00591CE6"/>
    <w:rsid w:val="00592E23"/>
    <w:rsid w:val="0059539A"/>
    <w:rsid w:val="00595EF8"/>
    <w:rsid w:val="005974A0"/>
    <w:rsid w:val="005A60E2"/>
    <w:rsid w:val="005B1056"/>
    <w:rsid w:val="005B6BF3"/>
    <w:rsid w:val="005C045E"/>
    <w:rsid w:val="005D01A0"/>
    <w:rsid w:val="005D2460"/>
    <w:rsid w:val="005D262B"/>
    <w:rsid w:val="005D6ECD"/>
    <w:rsid w:val="005E0AFA"/>
    <w:rsid w:val="005E3C8B"/>
    <w:rsid w:val="005E45E6"/>
    <w:rsid w:val="005F1EBF"/>
    <w:rsid w:val="005F6652"/>
    <w:rsid w:val="005F6E0D"/>
    <w:rsid w:val="00602139"/>
    <w:rsid w:val="00611C19"/>
    <w:rsid w:val="00614DC4"/>
    <w:rsid w:val="00614DD0"/>
    <w:rsid w:val="00615816"/>
    <w:rsid w:val="00616E79"/>
    <w:rsid w:val="00621CE5"/>
    <w:rsid w:val="00622406"/>
    <w:rsid w:val="00625003"/>
    <w:rsid w:val="0063579A"/>
    <w:rsid w:val="00635A68"/>
    <w:rsid w:val="00635C8C"/>
    <w:rsid w:val="00636B9D"/>
    <w:rsid w:val="00645596"/>
    <w:rsid w:val="00646030"/>
    <w:rsid w:val="00646D32"/>
    <w:rsid w:val="00650009"/>
    <w:rsid w:val="00655732"/>
    <w:rsid w:val="00660482"/>
    <w:rsid w:val="0066271D"/>
    <w:rsid w:val="00662B6D"/>
    <w:rsid w:val="00662B6E"/>
    <w:rsid w:val="00662BAB"/>
    <w:rsid w:val="00663A9F"/>
    <w:rsid w:val="00664D6D"/>
    <w:rsid w:val="00666EB3"/>
    <w:rsid w:val="006772B7"/>
    <w:rsid w:val="006827ED"/>
    <w:rsid w:val="00687726"/>
    <w:rsid w:val="00691475"/>
    <w:rsid w:val="006A117C"/>
    <w:rsid w:val="006A36B2"/>
    <w:rsid w:val="006A55DF"/>
    <w:rsid w:val="006A5B65"/>
    <w:rsid w:val="006A5C41"/>
    <w:rsid w:val="006B2ED9"/>
    <w:rsid w:val="006B59C3"/>
    <w:rsid w:val="006C5AD4"/>
    <w:rsid w:val="006D66B0"/>
    <w:rsid w:val="006E3483"/>
    <w:rsid w:val="006E3844"/>
    <w:rsid w:val="00703F85"/>
    <w:rsid w:val="00727D92"/>
    <w:rsid w:val="00736456"/>
    <w:rsid w:val="00744164"/>
    <w:rsid w:val="007510FE"/>
    <w:rsid w:val="007516D4"/>
    <w:rsid w:val="0075224F"/>
    <w:rsid w:val="00756831"/>
    <w:rsid w:val="00762580"/>
    <w:rsid w:val="0076618B"/>
    <w:rsid w:val="00774EF6"/>
    <w:rsid w:val="00776735"/>
    <w:rsid w:val="00777820"/>
    <w:rsid w:val="00777E97"/>
    <w:rsid w:val="00780FB3"/>
    <w:rsid w:val="007826D0"/>
    <w:rsid w:val="00784A90"/>
    <w:rsid w:val="00786811"/>
    <w:rsid w:val="00790809"/>
    <w:rsid w:val="007B2618"/>
    <w:rsid w:val="007B3F43"/>
    <w:rsid w:val="007B4107"/>
    <w:rsid w:val="007C1B07"/>
    <w:rsid w:val="007C2D6B"/>
    <w:rsid w:val="007C3FA1"/>
    <w:rsid w:val="007C5F0B"/>
    <w:rsid w:val="007C689D"/>
    <w:rsid w:val="007C7C9C"/>
    <w:rsid w:val="007D4F97"/>
    <w:rsid w:val="007E13D8"/>
    <w:rsid w:val="007E2630"/>
    <w:rsid w:val="007E293E"/>
    <w:rsid w:val="007E6ADB"/>
    <w:rsid w:val="007E7A6A"/>
    <w:rsid w:val="007F0071"/>
    <w:rsid w:val="007F101C"/>
    <w:rsid w:val="00800E5D"/>
    <w:rsid w:val="00801599"/>
    <w:rsid w:val="00810FF0"/>
    <w:rsid w:val="00812200"/>
    <w:rsid w:val="0081341D"/>
    <w:rsid w:val="00816ED8"/>
    <w:rsid w:val="00823460"/>
    <w:rsid w:val="008303F1"/>
    <w:rsid w:val="00830C6C"/>
    <w:rsid w:val="0084123C"/>
    <w:rsid w:val="00842F68"/>
    <w:rsid w:val="0084594C"/>
    <w:rsid w:val="00847173"/>
    <w:rsid w:val="0085336C"/>
    <w:rsid w:val="00871D43"/>
    <w:rsid w:val="00872021"/>
    <w:rsid w:val="008759CA"/>
    <w:rsid w:val="00876770"/>
    <w:rsid w:val="0088502A"/>
    <w:rsid w:val="00885C11"/>
    <w:rsid w:val="00892575"/>
    <w:rsid w:val="00893DD6"/>
    <w:rsid w:val="0089706A"/>
    <w:rsid w:val="008A09CD"/>
    <w:rsid w:val="008A350F"/>
    <w:rsid w:val="008C0AA2"/>
    <w:rsid w:val="008C137F"/>
    <w:rsid w:val="008C1576"/>
    <w:rsid w:val="008C57B7"/>
    <w:rsid w:val="008D141D"/>
    <w:rsid w:val="008D263D"/>
    <w:rsid w:val="008E2EF1"/>
    <w:rsid w:val="008E462F"/>
    <w:rsid w:val="008F2243"/>
    <w:rsid w:val="008F55D0"/>
    <w:rsid w:val="008F6C6C"/>
    <w:rsid w:val="008F6E71"/>
    <w:rsid w:val="008F6E77"/>
    <w:rsid w:val="009013A1"/>
    <w:rsid w:val="0090158D"/>
    <w:rsid w:val="00902635"/>
    <w:rsid w:val="0091065A"/>
    <w:rsid w:val="00912156"/>
    <w:rsid w:val="00914993"/>
    <w:rsid w:val="00917838"/>
    <w:rsid w:val="00920C4A"/>
    <w:rsid w:val="0092290A"/>
    <w:rsid w:val="00923900"/>
    <w:rsid w:val="00923E26"/>
    <w:rsid w:val="0093336A"/>
    <w:rsid w:val="0094034B"/>
    <w:rsid w:val="00943327"/>
    <w:rsid w:val="00945E7B"/>
    <w:rsid w:val="00945FF8"/>
    <w:rsid w:val="00957F67"/>
    <w:rsid w:val="00965F18"/>
    <w:rsid w:val="00970D40"/>
    <w:rsid w:val="009767FD"/>
    <w:rsid w:val="009779AB"/>
    <w:rsid w:val="00986E7D"/>
    <w:rsid w:val="009872DE"/>
    <w:rsid w:val="009910D0"/>
    <w:rsid w:val="00997015"/>
    <w:rsid w:val="009A0039"/>
    <w:rsid w:val="009A24E1"/>
    <w:rsid w:val="009A305A"/>
    <w:rsid w:val="009B0758"/>
    <w:rsid w:val="009C20EC"/>
    <w:rsid w:val="009C713E"/>
    <w:rsid w:val="009D1756"/>
    <w:rsid w:val="009D41CF"/>
    <w:rsid w:val="009D56FE"/>
    <w:rsid w:val="009E5616"/>
    <w:rsid w:val="009E584C"/>
    <w:rsid w:val="009F2933"/>
    <w:rsid w:val="009F688B"/>
    <w:rsid w:val="00A07710"/>
    <w:rsid w:val="00A07D77"/>
    <w:rsid w:val="00A111B4"/>
    <w:rsid w:val="00A14755"/>
    <w:rsid w:val="00A17B9E"/>
    <w:rsid w:val="00A269BD"/>
    <w:rsid w:val="00A33C82"/>
    <w:rsid w:val="00A375F5"/>
    <w:rsid w:val="00A46245"/>
    <w:rsid w:val="00A46271"/>
    <w:rsid w:val="00A46DAB"/>
    <w:rsid w:val="00A512AA"/>
    <w:rsid w:val="00A532CA"/>
    <w:rsid w:val="00A565BF"/>
    <w:rsid w:val="00A57208"/>
    <w:rsid w:val="00A6241F"/>
    <w:rsid w:val="00A62EF8"/>
    <w:rsid w:val="00A673CC"/>
    <w:rsid w:val="00A67466"/>
    <w:rsid w:val="00A717F8"/>
    <w:rsid w:val="00A74647"/>
    <w:rsid w:val="00A77570"/>
    <w:rsid w:val="00A8052D"/>
    <w:rsid w:val="00A80F07"/>
    <w:rsid w:val="00A90E64"/>
    <w:rsid w:val="00A9353B"/>
    <w:rsid w:val="00A96F68"/>
    <w:rsid w:val="00AA0E67"/>
    <w:rsid w:val="00AB05B5"/>
    <w:rsid w:val="00AB4D8B"/>
    <w:rsid w:val="00AB7A54"/>
    <w:rsid w:val="00AC3D7A"/>
    <w:rsid w:val="00AC7D1D"/>
    <w:rsid w:val="00AC7DE1"/>
    <w:rsid w:val="00AD2298"/>
    <w:rsid w:val="00AD4B25"/>
    <w:rsid w:val="00AE1FD5"/>
    <w:rsid w:val="00AE4F0A"/>
    <w:rsid w:val="00AE6020"/>
    <w:rsid w:val="00AF1C9C"/>
    <w:rsid w:val="00AF2B7D"/>
    <w:rsid w:val="00B018DD"/>
    <w:rsid w:val="00B02F79"/>
    <w:rsid w:val="00B055CB"/>
    <w:rsid w:val="00B05661"/>
    <w:rsid w:val="00B169B6"/>
    <w:rsid w:val="00B22814"/>
    <w:rsid w:val="00B2295B"/>
    <w:rsid w:val="00B252D2"/>
    <w:rsid w:val="00B2575D"/>
    <w:rsid w:val="00B27642"/>
    <w:rsid w:val="00B3472A"/>
    <w:rsid w:val="00B423F6"/>
    <w:rsid w:val="00B4708C"/>
    <w:rsid w:val="00B50D42"/>
    <w:rsid w:val="00B53736"/>
    <w:rsid w:val="00B61E7E"/>
    <w:rsid w:val="00B71960"/>
    <w:rsid w:val="00B74916"/>
    <w:rsid w:val="00B82B45"/>
    <w:rsid w:val="00B90EA7"/>
    <w:rsid w:val="00B92057"/>
    <w:rsid w:val="00B932FB"/>
    <w:rsid w:val="00B94990"/>
    <w:rsid w:val="00BA1165"/>
    <w:rsid w:val="00BC0DDC"/>
    <w:rsid w:val="00BC1197"/>
    <w:rsid w:val="00BC212B"/>
    <w:rsid w:val="00BD7631"/>
    <w:rsid w:val="00BE02A2"/>
    <w:rsid w:val="00BE44AE"/>
    <w:rsid w:val="00BE7486"/>
    <w:rsid w:val="00C03BF1"/>
    <w:rsid w:val="00C04AC9"/>
    <w:rsid w:val="00C0563A"/>
    <w:rsid w:val="00C06DB7"/>
    <w:rsid w:val="00C0701C"/>
    <w:rsid w:val="00C07387"/>
    <w:rsid w:val="00C164DF"/>
    <w:rsid w:val="00C2098F"/>
    <w:rsid w:val="00C21352"/>
    <w:rsid w:val="00C30C13"/>
    <w:rsid w:val="00C3185B"/>
    <w:rsid w:val="00C33608"/>
    <w:rsid w:val="00C34B52"/>
    <w:rsid w:val="00C40FE9"/>
    <w:rsid w:val="00C43CC7"/>
    <w:rsid w:val="00C453F7"/>
    <w:rsid w:val="00C464DE"/>
    <w:rsid w:val="00C476DE"/>
    <w:rsid w:val="00C50EA9"/>
    <w:rsid w:val="00C5427C"/>
    <w:rsid w:val="00C54E78"/>
    <w:rsid w:val="00C6231B"/>
    <w:rsid w:val="00C63653"/>
    <w:rsid w:val="00C66BD0"/>
    <w:rsid w:val="00C66E0B"/>
    <w:rsid w:val="00C67754"/>
    <w:rsid w:val="00C73EA3"/>
    <w:rsid w:val="00C8209E"/>
    <w:rsid w:val="00C82E79"/>
    <w:rsid w:val="00C91A52"/>
    <w:rsid w:val="00C9253B"/>
    <w:rsid w:val="00C94468"/>
    <w:rsid w:val="00CA2A5E"/>
    <w:rsid w:val="00CA2F8C"/>
    <w:rsid w:val="00CB29FB"/>
    <w:rsid w:val="00CB76A9"/>
    <w:rsid w:val="00CC2399"/>
    <w:rsid w:val="00CC2489"/>
    <w:rsid w:val="00CC4F5C"/>
    <w:rsid w:val="00CC5FDB"/>
    <w:rsid w:val="00CE1E5F"/>
    <w:rsid w:val="00CE2A78"/>
    <w:rsid w:val="00CE3DAF"/>
    <w:rsid w:val="00CE5070"/>
    <w:rsid w:val="00CF2807"/>
    <w:rsid w:val="00CF49A4"/>
    <w:rsid w:val="00CF4E36"/>
    <w:rsid w:val="00CF6F98"/>
    <w:rsid w:val="00D02619"/>
    <w:rsid w:val="00D077B1"/>
    <w:rsid w:val="00D07A6A"/>
    <w:rsid w:val="00D127D7"/>
    <w:rsid w:val="00D144EC"/>
    <w:rsid w:val="00D256FA"/>
    <w:rsid w:val="00D25E35"/>
    <w:rsid w:val="00D26094"/>
    <w:rsid w:val="00D2743F"/>
    <w:rsid w:val="00D3249B"/>
    <w:rsid w:val="00D344DA"/>
    <w:rsid w:val="00D35206"/>
    <w:rsid w:val="00D40008"/>
    <w:rsid w:val="00D510D8"/>
    <w:rsid w:val="00D51F4F"/>
    <w:rsid w:val="00D544CA"/>
    <w:rsid w:val="00D619BB"/>
    <w:rsid w:val="00D728E3"/>
    <w:rsid w:val="00D8288A"/>
    <w:rsid w:val="00D83F05"/>
    <w:rsid w:val="00D87786"/>
    <w:rsid w:val="00D90FAD"/>
    <w:rsid w:val="00DA1F99"/>
    <w:rsid w:val="00DB22AD"/>
    <w:rsid w:val="00DB4333"/>
    <w:rsid w:val="00DB5519"/>
    <w:rsid w:val="00DB5A2F"/>
    <w:rsid w:val="00DB79B6"/>
    <w:rsid w:val="00DC3471"/>
    <w:rsid w:val="00DC65EA"/>
    <w:rsid w:val="00DC7A65"/>
    <w:rsid w:val="00DD2340"/>
    <w:rsid w:val="00DD7187"/>
    <w:rsid w:val="00DE2042"/>
    <w:rsid w:val="00DE71E3"/>
    <w:rsid w:val="00DF1C85"/>
    <w:rsid w:val="00DF38AB"/>
    <w:rsid w:val="00DF5479"/>
    <w:rsid w:val="00DF7622"/>
    <w:rsid w:val="00E0237F"/>
    <w:rsid w:val="00E03A17"/>
    <w:rsid w:val="00E04C34"/>
    <w:rsid w:val="00E1162F"/>
    <w:rsid w:val="00E27772"/>
    <w:rsid w:val="00E3551C"/>
    <w:rsid w:val="00E428FF"/>
    <w:rsid w:val="00E474DF"/>
    <w:rsid w:val="00E51CCA"/>
    <w:rsid w:val="00E5371F"/>
    <w:rsid w:val="00E5383F"/>
    <w:rsid w:val="00E56297"/>
    <w:rsid w:val="00E56A69"/>
    <w:rsid w:val="00E61983"/>
    <w:rsid w:val="00E65191"/>
    <w:rsid w:val="00E65ABB"/>
    <w:rsid w:val="00E7208A"/>
    <w:rsid w:val="00E76323"/>
    <w:rsid w:val="00E8116C"/>
    <w:rsid w:val="00E82959"/>
    <w:rsid w:val="00E83288"/>
    <w:rsid w:val="00E83EC1"/>
    <w:rsid w:val="00E8445C"/>
    <w:rsid w:val="00E903F9"/>
    <w:rsid w:val="00E933D0"/>
    <w:rsid w:val="00E95287"/>
    <w:rsid w:val="00E954E6"/>
    <w:rsid w:val="00E96936"/>
    <w:rsid w:val="00EB07C6"/>
    <w:rsid w:val="00EB1701"/>
    <w:rsid w:val="00EB3186"/>
    <w:rsid w:val="00EB4969"/>
    <w:rsid w:val="00EB52F8"/>
    <w:rsid w:val="00EB77B0"/>
    <w:rsid w:val="00EC06F0"/>
    <w:rsid w:val="00EC58A5"/>
    <w:rsid w:val="00EC7234"/>
    <w:rsid w:val="00ED345B"/>
    <w:rsid w:val="00ED36E3"/>
    <w:rsid w:val="00ED3930"/>
    <w:rsid w:val="00ED4800"/>
    <w:rsid w:val="00ED4B61"/>
    <w:rsid w:val="00EE0776"/>
    <w:rsid w:val="00EE15C7"/>
    <w:rsid w:val="00EF4DA0"/>
    <w:rsid w:val="00EF53EB"/>
    <w:rsid w:val="00EF64E3"/>
    <w:rsid w:val="00F17D23"/>
    <w:rsid w:val="00F207F8"/>
    <w:rsid w:val="00F22869"/>
    <w:rsid w:val="00F27E01"/>
    <w:rsid w:val="00F334E5"/>
    <w:rsid w:val="00F34C5C"/>
    <w:rsid w:val="00F37527"/>
    <w:rsid w:val="00F43E2B"/>
    <w:rsid w:val="00F47563"/>
    <w:rsid w:val="00F50E1D"/>
    <w:rsid w:val="00F56A73"/>
    <w:rsid w:val="00F612E9"/>
    <w:rsid w:val="00F63C6B"/>
    <w:rsid w:val="00F63E03"/>
    <w:rsid w:val="00F641AF"/>
    <w:rsid w:val="00F648ED"/>
    <w:rsid w:val="00F719C7"/>
    <w:rsid w:val="00F72E34"/>
    <w:rsid w:val="00F7757B"/>
    <w:rsid w:val="00F83362"/>
    <w:rsid w:val="00F85047"/>
    <w:rsid w:val="00F904C8"/>
    <w:rsid w:val="00F92174"/>
    <w:rsid w:val="00F93AD9"/>
    <w:rsid w:val="00F94888"/>
    <w:rsid w:val="00F95ECC"/>
    <w:rsid w:val="00FA22F5"/>
    <w:rsid w:val="00FB1EE9"/>
    <w:rsid w:val="00FB5F43"/>
    <w:rsid w:val="00FB7D6A"/>
    <w:rsid w:val="00FC1055"/>
    <w:rsid w:val="00FC51D7"/>
    <w:rsid w:val="00FC5E92"/>
    <w:rsid w:val="00FE2519"/>
    <w:rsid w:val="00FE399D"/>
    <w:rsid w:val="00FF35EA"/>
    <w:rsid w:val="00FF7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DA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455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2F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36C2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E3DAF"/>
    <w:pPr>
      <w:tabs>
        <w:tab w:val="center" w:pos="4320"/>
        <w:tab w:val="right" w:pos="8640"/>
      </w:tabs>
    </w:pPr>
  </w:style>
  <w:style w:type="character" w:customStyle="1" w:styleId="FooterChar">
    <w:name w:val="Footer Char"/>
    <w:basedOn w:val="DefaultParagraphFont"/>
    <w:link w:val="Footer"/>
    <w:rsid w:val="00CE3DAF"/>
    <w:rPr>
      <w:rFonts w:ascii="Times New Roman" w:eastAsia="Times New Roman" w:hAnsi="Times New Roman" w:cs="Times New Roman"/>
      <w:sz w:val="24"/>
      <w:szCs w:val="24"/>
    </w:rPr>
  </w:style>
  <w:style w:type="paragraph" w:styleId="BodyTextIndent">
    <w:name w:val="Body Text Indent"/>
    <w:basedOn w:val="Normal"/>
    <w:link w:val="BodyTextIndentChar"/>
    <w:rsid w:val="00CE3DAF"/>
    <w:pPr>
      <w:ind w:left="360"/>
    </w:pPr>
    <w:rPr>
      <w:bCs/>
      <w:sz w:val="28"/>
    </w:rPr>
  </w:style>
  <w:style w:type="character" w:customStyle="1" w:styleId="BodyTextIndentChar">
    <w:name w:val="Body Text Indent Char"/>
    <w:basedOn w:val="DefaultParagraphFont"/>
    <w:link w:val="BodyTextIndent"/>
    <w:rsid w:val="00CE3DAF"/>
    <w:rPr>
      <w:rFonts w:ascii="Times New Roman" w:eastAsia="Times New Roman" w:hAnsi="Times New Roman" w:cs="Times New Roman"/>
      <w:bCs/>
      <w:sz w:val="28"/>
      <w:szCs w:val="24"/>
    </w:rPr>
  </w:style>
  <w:style w:type="paragraph" w:styleId="Header">
    <w:name w:val="header"/>
    <w:basedOn w:val="Normal"/>
    <w:link w:val="HeaderChar"/>
    <w:uiPriority w:val="99"/>
    <w:unhideWhenUsed/>
    <w:rsid w:val="008A09CD"/>
    <w:pPr>
      <w:tabs>
        <w:tab w:val="center" w:pos="4680"/>
        <w:tab w:val="right" w:pos="9360"/>
      </w:tabs>
    </w:pPr>
  </w:style>
  <w:style w:type="character" w:customStyle="1" w:styleId="HeaderChar">
    <w:name w:val="Header Char"/>
    <w:basedOn w:val="DefaultParagraphFont"/>
    <w:link w:val="Header"/>
    <w:uiPriority w:val="99"/>
    <w:rsid w:val="008A09CD"/>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4559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2F5"/>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02F79"/>
    <w:pPr>
      <w:ind w:left="720"/>
      <w:contextualSpacing/>
    </w:pPr>
  </w:style>
  <w:style w:type="character" w:customStyle="1" w:styleId="Heading3Char">
    <w:name w:val="Heading 3 Char"/>
    <w:basedOn w:val="DefaultParagraphFont"/>
    <w:link w:val="Heading3"/>
    <w:uiPriority w:val="9"/>
    <w:rsid w:val="00136C28"/>
    <w:rPr>
      <w:rFonts w:asciiTheme="majorHAnsi" w:eastAsiaTheme="majorEastAsia" w:hAnsiTheme="majorHAnsi" w:cstheme="majorBidi"/>
      <w:b/>
      <w:bCs/>
      <w:color w:val="4F81BD" w:themeColor="accent1"/>
      <w:sz w:val="24"/>
      <w:szCs w:val="24"/>
    </w:rPr>
  </w:style>
  <w:style w:type="paragraph" w:styleId="TOCHeading">
    <w:name w:val="TOC Heading"/>
    <w:basedOn w:val="Heading1"/>
    <w:next w:val="Normal"/>
    <w:uiPriority w:val="39"/>
    <w:semiHidden/>
    <w:unhideWhenUsed/>
    <w:qFormat/>
    <w:rsid w:val="00091CCC"/>
    <w:pPr>
      <w:spacing w:line="276" w:lineRule="auto"/>
      <w:outlineLvl w:val="9"/>
    </w:pPr>
    <w:rPr>
      <w:lang w:eastAsia="ja-JP"/>
    </w:rPr>
  </w:style>
  <w:style w:type="paragraph" w:styleId="TOC1">
    <w:name w:val="toc 1"/>
    <w:basedOn w:val="Normal"/>
    <w:next w:val="Normal"/>
    <w:autoRedefine/>
    <w:uiPriority w:val="39"/>
    <w:unhideWhenUsed/>
    <w:rsid w:val="00091CCC"/>
    <w:pPr>
      <w:spacing w:after="100"/>
    </w:pPr>
  </w:style>
  <w:style w:type="paragraph" w:styleId="TOC2">
    <w:name w:val="toc 2"/>
    <w:basedOn w:val="Normal"/>
    <w:next w:val="Normal"/>
    <w:autoRedefine/>
    <w:uiPriority w:val="39"/>
    <w:unhideWhenUsed/>
    <w:rsid w:val="00091CCC"/>
    <w:pPr>
      <w:spacing w:after="100"/>
      <w:ind w:left="240"/>
    </w:pPr>
  </w:style>
  <w:style w:type="paragraph" w:styleId="TOC3">
    <w:name w:val="toc 3"/>
    <w:basedOn w:val="Normal"/>
    <w:next w:val="Normal"/>
    <w:autoRedefine/>
    <w:uiPriority w:val="39"/>
    <w:unhideWhenUsed/>
    <w:rsid w:val="00091CCC"/>
    <w:pPr>
      <w:spacing w:after="100"/>
      <w:ind w:left="480"/>
    </w:pPr>
  </w:style>
  <w:style w:type="character" w:styleId="Hyperlink">
    <w:name w:val="Hyperlink"/>
    <w:basedOn w:val="DefaultParagraphFont"/>
    <w:uiPriority w:val="99"/>
    <w:unhideWhenUsed/>
    <w:rsid w:val="00091CCC"/>
    <w:rPr>
      <w:color w:val="0000FF" w:themeColor="hyperlink"/>
      <w:u w:val="single"/>
    </w:rPr>
  </w:style>
  <w:style w:type="paragraph" w:styleId="BalloonText">
    <w:name w:val="Balloon Text"/>
    <w:basedOn w:val="Normal"/>
    <w:link w:val="BalloonTextChar"/>
    <w:uiPriority w:val="99"/>
    <w:semiHidden/>
    <w:unhideWhenUsed/>
    <w:rsid w:val="00091CCC"/>
    <w:rPr>
      <w:rFonts w:ascii="Tahoma" w:hAnsi="Tahoma" w:cs="Tahoma"/>
      <w:sz w:val="16"/>
      <w:szCs w:val="16"/>
    </w:rPr>
  </w:style>
  <w:style w:type="character" w:customStyle="1" w:styleId="BalloonTextChar">
    <w:name w:val="Balloon Text Char"/>
    <w:basedOn w:val="DefaultParagraphFont"/>
    <w:link w:val="BalloonText"/>
    <w:uiPriority w:val="99"/>
    <w:semiHidden/>
    <w:rsid w:val="00091CCC"/>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E76323"/>
    <w:rPr>
      <w:color w:val="800080" w:themeColor="followedHyperlink"/>
      <w:u w:val="single"/>
    </w:rPr>
  </w:style>
  <w:style w:type="paragraph" w:styleId="Caption">
    <w:name w:val="caption"/>
    <w:basedOn w:val="Normal"/>
    <w:next w:val="Normal"/>
    <w:uiPriority w:val="35"/>
    <w:unhideWhenUsed/>
    <w:qFormat/>
    <w:rsid w:val="001F25DC"/>
    <w:pPr>
      <w:spacing w:after="200"/>
    </w:pPr>
    <w:rPr>
      <w:b/>
      <w:bCs/>
      <w:color w:val="4F81BD" w:themeColor="accent1"/>
      <w:sz w:val="18"/>
      <w:szCs w:val="18"/>
    </w:rPr>
  </w:style>
  <w:style w:type="table" w:styleId="TableGrid">
    <w:name w:val="Table Grid"/>
    <w:basedOn w:val="TableNormal"/>
    <w:uiPriority w:val="59"/>
    <w:rsid w:val="005E0A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List2-Accent6">
    <w:name w:val="Medium List 2 Accent 6"/>
    <w:basedOn w:val="TableNormal"/>
    <w:uiPriority w:val="66"/>
    <w:rsid w:val="0068772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687726"/>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5">
    <w:name w:val="Medium Grid 1 Accent 5"/>
    <w:basedOn w:val="TableNormal"/>
    <w:uiPriority w:val="67"/>
    <w:rsid w:val="00687726"/>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4">
    <w:name w:val="Medium Grid 1 Accent 4"/>
    <w:basedOn w:val="TableNormal"/>
    <w:uiPriority w:val="67"/>
    <w:rsid w:val="00687726"/>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3">
    <w:name w:val="Medium Grid 1 Accent 3"/>
    <w:basedOn w:val="TableNormal"/>
    <w:uiPriority w:val="67"/>
    <w:rsid w:val="00687726"/>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NormalWeb">
    <w:name w:val="Normal (Web)"/>
    <w:basedOn w:val="Normal"/>
    <w:uiPriority w:val="99"/>
    <w:semiHidden/>
    <w:unhideWhenUsed/>
    <w:rsid w:val="0059539A"/>
    <w:pPr>
      <w:spacing w:before="100" w:beforeAutospacing="1" w:after="100" w:afterAutospacing="1"/>
    </w:pPr>
  </w:style>
  <w:style w:type="character" w:styleId="Emphasis">
    <w:name w:val="Emphasis"/>
    <w:basedOn w:val="DefaultParagraphFont"/>
    <w:uiPriority w:val="20"/>
    <w:qFormat/>
    <w:rsid w:val="0059539A"/>
    <w:rPr>
      <w:i/>
      <w:iCs/>
    </w:rPr>
  </w:style>
  <w:style w:type="character" w:styleId="Strong">
    <w:name w:val="Strong"/>
    <w:basedOn w:val="DefaultParagraphFont"/>
    <w:uiPriority w:val="22"/>
    <w:qFormat/>
    <w:rsid w:val="0059539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DA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455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2F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36C2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E3DAF"/>
    <w:pPr>
      <w:tabs>
        <w:tab w:val="center" w:pos="4320"/>
        <w:tab w:val="right" w:pos="8640"/>
      </w:tabs>
    </w:pPr>
  </w:style>
  <w:style w:type="character" w:customStyle="1" w:styleId="FooterChar">
    <w:name w:val="Footer Char"/>
    <w:basedOn w:val="DefaultParagraphFont"/>
    <w:link w:val="Footer"/>
    <w:rsid w:val="00CE3DAF"/>
    <w:rPr>
      <w:rFonts w:ascii="Times New Roman" w:eastAsia="Times New Roman" w:hAnsi="Times New Roman" w:cs="Times New Roman"/>
      <w:sz w:val="24"/>
      <w:szCs w:val="24"/>
    </w:rPr>
  </w:style>
  <w:style w:type="paragraph" w:styleId="BodyTextIndent">
    <w:name w:val="Body Text Indent"/>
    <w:basedOn w:val="Normal"/>
    <w:link w:val="BodyTextIndentChar"/>
    <w:rsid w:val="00CE3DAF"/>
    <w:pPr>
      <w:ind w:left="360"/>
    </w:pPr>
    <w:rPr>
      <w:bCs/>
      <w:sz w:val="28"/>
    </w:rPr>
  </w:style>
  <w:style w:type="character" w:customStyle="1" w:styleId="BodyTextIndentChar">
    <w:name w:val="Body Text Indent Char"/>
    <w:basedOn w:val="DefaultParagraphFont"/>
    <w:link w:val="BodyTextIndent"/>
    <w:rsid w:val="00CE3DAF"/>
    <w:rPr>
      <w:rFonts w:ascii="Times New Roman" w:eastAsia="Times New Roman" w:hAnsi="Times New Roman" w:cs="Times New Roman"/>
      <w:bCs/>
      <w:sz w:val="28"/>
      <w:szCs w:val="24"/>
    </w:rPr>
  </w:style>
  <w:style w:type="paragraph" w:styleId="Header">
    <w:name w:val="header"/>
    <w:basedOn w:val="Normal"/>
    <w:link w:val="HeaderChar"/>
    <w:uiPriority w:val="99"/>
    <w:unhideWhenUsed/>
    <w:rsid w:val="008A09CD"/>
    <w:pPr>
      <w:tabs>
        <w:tab w:val="center" w:pos="4680"/>
        <w:tab w:val="right" w:pos="9360"/>
      </w:tabs>
    </w:pPr>
  </w:style>
  <w:style w:type="character" w:customStyle="1" w:styleId="HeaderChar">
    <w:name w:val="Header Char"/>
    <w:basedOn w:val="DefaultParagraphFont"/>
    <w:link w:val="Header"/>
    <w:uiPriority w:val="99"/>
    <w:rsid w:val="008A09CD"/>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4559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2F5"/>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02F79"/>
    <w:pPr>
      <w:ind w:left="720"/>
      <w:contextualSpacing/>
    </w:pPr>
  </w:style>
  <w:style w:type="character" w:customStyle="1" w:styleId="Heading3Char">
    <w:name w:val="Heading 3 Char"/>
    <w:basedOn w:val="DefaultParagraphFont"/>
    <w:link w:val="Heading3"/>
    <w:uiPriority w:val="9"/>
    <w:rsid w:val="00136C28"/>
    <w:rPr>
      <w:rFonts w:asciiTheme="majorHAnsi" w:eastAsiaTheme="majorEastAsia" w:hAnsiTheme="majorHAnsi" w:cstheme="majorBidi"/>
      <w:b/>
      <w:bCs/>
      <w:color w:val="4F81BD" w:themeColor="accent1"/>
      <w:sz w:val="24"/>
      <w:szCs w:val="24"/>
    </w:rPr>
  </w:style>
  <w:style w:type="paragraph" w:styleId="TOCHeading">
    <w:name w:val="TOC Heading"/>
    <w:basedOn w:val="Heading1"/>
    <w:next w:val="Normal"/>
    <w:uiPriority w:val="39"/>
    <w:semiHidden/>
    <w:unhideWhenUsed/>
    <w:qFormat/>
    <w:rsid w:val="00091CCC"/>
    <w:pPr>
      <w:spacing w:line="276" w:lineRule="auto"/>
      <w:outlineLvl w:val="9"/>
    </w:pPr>
    <w:rPr>
      <w:lang w:eastAsia="ja-JP"/>
    </w:rPr>
  </w:style>
  <w:style w:type="paragraph" w:styleId="TOC1">
    <w:name w:val="toc 1"/>
    <w:basedOn w:val="Normal"/>
    <w:next w:val="Normal"/>
    <w:autoRedefine/>
    <w:uiPriority w:val="39"/>
    <w:unhideWhenUsed/>
    <w:rsid w:val="00091CCC"/>
    <w:pPr>
      <w:spacing w:after="100"/>
    </w:pPr>
  </w:style>
  <w:style w:type="paragraph" w:styleId="TOC2">
    <w:name w:val="toc 2"/>
    <w:basedOn w:val="Normal"/>
    <w:next w:val="Normal"/>
    <w:autoRedefine/>
    <w:uiPriority w:val="39"/>
    <w:unhideWhenUsed/>
    <w:rsid w:val="00091CCC"/>
    <w:pPr>
      <w:spacing w:after="100"/>
      <w:ind w:left="240"/>
    </w:pPr>
  </w:style>
  <w:style w:type="paragraph" w:styleId="TOC3">
    <w:name w:val="toc 3"/>
    <w:basedOn w:val="Normal"/>
    <w:next w:val="Normal"/>
    <w:autoRedefine/>
    <w:uiPriority w:val="39"/>
    <w:unhideWhenUsed/>
    <w:rsid w:val="00091CCC"/>
    <w:pPr>
      <w:spacing w:after="100"/>
      <w:ind w:left="480"/>
    </w:pPr>
  </w:style>
  <w:style w:type="character" w:styleId="Hyperlink">
    <w:name w:val="Hyperlink"/>
    <w:basedOn w:val="DefaultParagraphFont"/>
    <w:uiPriority w:val="99"/>
    <w:unhideWhenUsed/>
    <w:rsid w:val="00091CCC"/>
    <w:rPr>
      <w:color w:val="0000FF" w:themeColor="hyperlink"/>
      <w:u w:val="single"/>
    </w:rPr>
  </w:style>
  <w:style w:type="paragraph" w:styleId="BalloonText">
    <w:name w:val="Balloon Text"/>
    <w:basedOn w:val="Normal"/>
    <w:link w:val="BalloonTextChar"/>
    <w:uiPriority w:val="99"/>
    <w:semiHidden/>
    <w:unhideWhenUsed/>
    <w:rsid w:val="00091CCC"/>
    <w:rPr>
      <w:rFonts w:ascii="Tahoma" w:hAnsi="Tahoma" w:cs="Tahoma"/>
      <w:sz w:val="16"/>
      <w:szCs w:val="16"/>
    </w:rPr>
  </w:style>
  <w:style w:type="character" w:customStyle="1" w:styleId="BalloonTextChar">
    <w:name w:val="Balloon Text Char"/>
    <w:basedOn w:val="DefaultParagraphFont"/>
    <w:link w:val="BalloonText"/>
    <w:uiPriority w:val="99"/>
    <w:semiHidden/>
    <w:rsid w:val="00091CCC"/>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E76323"/>
    <w:rPr>
      <w:color w:val="800080" w:themeColor="followedHyperlink"/>
      <w:u w:val="single"/>
    </w:rPr>
  </w:style>
  <w:style w:type="paragraph" w:styleId="Caption">
    <w:name w:val="caption"/>
    <w:basedOn w:val="Normal"/>
    <w:next w:val="Normal"/>
    <w:uiPriority w:val="35"/>
    <w:unhideWhenUsed/>
    <w:qFormat/>
    <w:rsid w:val="001F25DC"/>
    <w:pPr>
      <w:spacing w:after="200"/>
    </w:pPr>
    <w:rPr>
      <w:b/>
      <w:bCs/>
      <w:color w:val="4F81BD" w:themeColor="accent1"/>
      <w:sz w:val="18"/>
      <w:szCs w:val="18"/>
    </w:rPr>
  </w:style>
  <w:style w:type="table" w:styleId="TableGrid">
    <w:name w:val="Table Grid"/>
    <w:basedOn w:val="TableNormal"/>
    <w:uiPriority w:val="59"/>
    <w:rsid w:val="005E0A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List2-Accent6">
    <w:name w:val="Medium List 2 Accent 6"/>
    <w:basedOn w:val="TableNormal"/>
    <w:uiPriority w:val="66"/>
    <w:rsid w:val="0068772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687726"/>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5">
    <w:name w:val="Medium Grid 1 Accent 5"/>
    <w:basedOn w:val="TableNormal"/>
    <w:uiPriority w:val="67"/>
    <w:rsid w:val="00687726"/>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4">
    <w:name w:val="Medium Grid 1 Accent 4"/>
    <w:basedOn w:val="TableNormal"/>
    <w:uiPriority w:val="67"/>
    <w:rsid w:val="00687726"/>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3">
    <w:name w:val="Medium Grid 1 Accent 3"/>
    <w:basedOn w:val="TableNormal"/>
    <w:uiPriority w:val="67"/>
    <w:rsid w:val="00687726"/>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NormalWeb">
    <w:name w:val="Normal (Web)"/>
    <w:basedOn w:val="Normal"/>
    <w:uiPriority w:val="99"/>
    <w:semiHidden/>
    <w:unhideWhenUsed/>
    <w:rsid w:val="0059539A"/>
    <w:pPr>
      <w:spacing w:before="100" w:beforeAutospacing="1" w:after="100" w:afterAutospacing="1"/>
    </w:pPr>
  </w:style>
  <w:style w:type="character" w:styleId="Emphasis">
    <w:name w:val="Emphasis"/>
    <w:basedOn w:val="DefaultParagraphFont"/>
    <w:uiPriority w:val="20"/>
    <w:qFormat/>
    <w:rsid w:val="0059539A"/>
    <w:rPr>
      <w:i/>
      <w:iCs/>
    </w:rPr>
  </w:style>
  <w:style w:type="character" w:styleId="Strong">
    <w:name w:val="Strong"/>
    <w:basedOn w:val="DefaultParagraphFont"/>
    <w:uiPriority w:val="22"/>
    <w:qFormat/>
    <w:rsid w:val="005953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341347">
      <w:bodyDiv w:val="1"/>
      <w:marLeft w:val="0"/>
      <w:marRight w:val="0"/>
      <w:marTop w:val="0"/>
      <w:marBottom w:val="0"/>
      <w:divBdr>
        <w:top w:val="none" w:sz="0" w:space="0" w:color="auto"/>
        <w:left w:val="none" w:sz="0" w:space="0" w:color="auto"/>
        <w:bottom w:val="none" w:sz="0" w:space="0" w:color="auto"/>
        <w:right w:val="none" w:sz="0" w:space="0" w:color="auto"/>
      </w:divBdr>
      <w:divsChild>
        <w:div w:id="528302061">
          <w:marLeft w:val="0"/>
          <w:marRight w:val="0"/>
          <w:marTop w:val="0"/>
          <w:marBottom w:val="0"/>
          <w:divBdr>
            <w:top w:val="none" w:sz="0" w:space="0" w:color="auto"/>
            <w:left w:val="none" w:sz="0" w:space="0" w:color="auto"/>
            <w:bottom w:val="none" w:sz="0" w:space="0" w:color="auto"/>
            <w:right w:val="none" w:sz="0" w:space="0" w:color="auto"/>
          </w:divBdr>
        </w:div>
      </w:divsChild>
    </w:div>
    <w:div w:id="158272538">
      <w:bodyDiv w:val="1"/>
      <w:marLeft w:val="0"/>
      <w:marRight w:val="0"/>
      <w:marTop w:val="0"/>
      <w:marBottom w:val="0"/>
      <w:divBdr>
        <w:top w:val="none" w:sz="0" w:space="0" w:color="auto"/>
        <w:left w:val="none" w:sz="0" w:space="0" w:color="auto"/>
        <w:bottom w:val="none" w:sz="0" w:space="0" w:color="auto"/>
        <w:right w:val="none" w:sz="0" w:space="0" w:color="auto"/>
      </w:divBdr>
    </w:div>
    <w:div w:id="197620230">
      <w:bodyDiv w:val="1"/>
      <w:marLeft w:val="0"/>
      <w:marRight w:val="0"/>
      <w:marTop w:val="0"/>
      <w:marBottom w:val="0"/>
      <w:divBdr>
        <w:top w:val="none" w:sz="0" w:space="0" w:color="auto"/>
        <w:left w:val="none" w:sz="0" w:space="0" w:color="auto"/>
        <w:bottom w:val="none" w:sz="0" w:space="0" w:color="auto"/>
        <w:right w:val="none" w:sz="0" w:space="0" w:color="auto"/>
      </w:divBdr>
    </w:div>
    <w:div w:id="248001538">
      <w:bodyDiv w:val="1"/>
      <w:marLeft w:val="0"/>
      <w:marRight w:val="0"/>
      <w:marTop w:val="0"/>
      <w:marBottom w:val="0"/>
      <w:divBdr>
        <w:top w:val="none" w:sz="0" w:space="0" w:color="auto"/>
        <w:left w:val="none" w:sz="0" w:space="0" w:color="auto"/>
        <w:bottom w:val="none" w:sz="0" w:space="0" w:color="auto"/>
        <w:right w:val="none" w:sz="0" w:space="0" w:color="auto"/>
      </w:divBdr>
    </w:div>
    <w:div w:id="353313880">
      <w:bodyDiv w:val="1"/>
      <w:marLeft w:val="0"/>
      <w:marRight w:val="0"/>
      <w:marTop w:val="0"/>
      <w:marBottom w:val="0"/>
      <w:divBdr>
        <w:top w:val="none" w:sz="0" w:space="0" w:color="auto"/>
        <w:left w:val="none" w:sz="0" w:space="0" w:color="auto"/>
        <w:bottom w:val="none" w:sz="0" w:space="0" w:color="auto"/>
        <w:right w:val="none" w:sz="0" w:space="0" w:color="auto"/>
      </w:divBdr>
    </w:div>
    <w:div w:id="357463558">
      <w:bodyDiv w:val="1"/>
      <w:marLeft w:val="0"/>
      <w:marRight w:val="0"/>
      <w:marTop w:val="0"/>
      <w:marBottom w:val="0"/>
      <w:divBdr>
        <w:top w:val="none" w:sz="0" w:space="0" w:color="auto"/>
        <w:left w:val="none" w:sz="0" w:space="0" w:color="auto"/>
        <w:bottom w:val="none" w:sz="0" w:space="0" w:color="auto"/>
        <w:right w:val="none" w:sz="0" w:space="0" w:color="auto"/>
      </w:divBdr>
    </w:div>
    <w:div w:id="818115270">
      <w:bodyDiv w:val="1"/>
      <w:marLeft w:val="0"/>
      <w:marRight w:val="0"/>
      <w:marTop w:val="0"/>
      <w:marBottom w:val="0"/>
      <w:divBdr>
        <w:top w:val="none" w:sz="0" w:space="0" w:color="auto"/>
        <w:left w:val="none" w:sz="0" w:space="0" w:color="auto"/>
        <w:bottom w:val="none" w:sz="0" w:space="0" w:color="auto"/>
        <w:right w:val="none" w:sz="0" w:space="0" w:color="auto"/>
      </w:divBdr>
      <w:divsChild>
        <w:div w:id="1288316578">
          <w:marLeft w:val="0"/>
          <w:marRight w:val="0"/>
          <w:marTop w:val="0"/>
          <w:marBottom w:val="0"/>
          <w:divBdr>
            <w:top w:val="none" w:sz="0" w:space="0" w:color="auto"/>
            <w:left w:val="none" w:sz="0" w:space="0" w:color="auto"/>
            <w:bottom w:val="none" w:sz="0" w:space="0" w:color="auto"/>
            <w:right w:val="none" w:sz="0" w:space="0" w:color="auto"/>
          </w:divBdr>
          <w:divsChild>
            <w:div w:id="878055897">
              <w:marLeft w:val="0"/>
              <w:marRight w:val="0"/>
              <w:marTop w:val="0"/>
              <w:marBottom w:val="0"/>
              <w:divBdr>
                <w:top w:val="none" w:sz="0" w:space="0" w:color="auto"/>
                <w:left w:val="none" w:sz="0" w:space="0" w:color="auto"/>
                <w:bottom w:val="none" w:sz="0" w:space="0" w:color="auto"/>
                <w:right w:val="none" w:sz="0" w:space="0" w:color="auto"/>
              </w:divBdr>
            </w:div>
          </w:divsChild>
        </w:div>
        <w:div w:id="349259755">
          <w:marLeft w:val="0"/>
          <w:marRight w:val="0"/>
          <w:marTop w:val="0"/>
          <w:marBottom w:val="0"/>
          <w:divBdr>
            <w:top w:val="none" w:sz="0" w:space="0" w:color="auto"/>
            <w:left w:val="none" w:sz="0" w:space="0" w:color="auto"/>
            <w:bottom w:val="none" w:sz="0" w:space="0" w:color="auto"/>
            <w:right w:val="none" w:sz="0" w:space="0" w:color="auto"/>
          </w:divBdr>
          <w:divsChild>
            <w:div w:id="496456223">
              <w:marLeft w:val="0"/>
              <w:marRight w:val="0"/>
              <w:marTop w:val="0"/>
              <w:marBottom w:val="0"/>
              <w:divBdr>
                <w:top w:val="none" w:sz="0" w:space="0" w:color="auto"/>
                <w:left w:val="none" w:sz="0" w:space="0" w:color="auto"/>
                <w:bottom w:val="none" w:sz="0" w:space="0" w:color="auto"/>
                <w:right w:val="none" w:sz="0" w:space="0" w:color="auto"/>
              </w:divBdr>
              <w:divsChild>
                <w:div w:id="331834326">
                  <w:marLeft w:val="0"/>
                  <w:marRight w:val="0"/>
                  <w:marTop w:val="0"/>
                  <w:marBottom w:val="0"/>
                  <w:divBdr>
                    <w:top w:val="none" w:sz="0" w:space="0" w:color="auto"/>
                    <w:left w:val="none" w:sz="0" w:space="0" w:color="auto"/>
                    <w:bottom w:val="none" w:sz="0" w:space="0" w:color="auto"/>
                    <w:right w:val="none" w:sz="0" w:space="0" w:color="auto"/>
                  </w:divBdr>
                  <w:divsChild>
                    <w:div w:id="1106074764">
                      <w:marLeft w:val="0"/>
                      <w:marRight w:val="0"/>
                      <w:marTop w:val="0"/>
                      <w:marBottom w:val="0"/>
                      <w:divBdr>
                        <w:top w:val="none" w:sz="0" w:space="0" w:color="auto"/>
                        <w:left w:val="none" w:sz="0" w:space="0" w:color="auto"/>
                        <w:bottom w:val="none" w:sz="0" w:space="0" w:color="auto"/>
                        <w:right w:val="none" w:sz="0" w:space="0" w:color="auto"/>
                      </w:divBdr>
                      <w:divsChild>
                        <w:div w:id="2053729089">
                          <w:marLeft w:val="0"/>
                          <w:marRight w:val="0"/>
                          <w:marTop w:val="0"/>
                          <w:marBottom w:val="0"/>
                          <w:divBdr>
                            <w:top w:val="none" w:sz="0" w:space="0" w:color="auto"/>
                            <w:left w:val="none" w:sz="0" w:space="0" w:color="auto"/>
                            <w:bottom w:val="none" w:sz="0" w:space="0" w:color="auto"/>
                            <w:right w:val="none" w:sz="0" w:space="0" w:color="auto"/>
                          </w:divBdr>
                          <w:divsChild>
                            <w:div w:id="49037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493329">
      <w:bodyDiv w:val="1"/>
      <w:marLeft w:val="0"/>
      <w:marRight w:val="0"/>
      <w:marTop w:val="0"/>
      <w:marBottom w:val="0"/>
      <w:divBdr>
        <w:top w:val="none" w:sz="0" w:space="0" w:color="auto"/>
        <w:left w:val="none" w:sz="0" w:space="0" w:color="auto"/>
        <w:bottom w:val="none" w:sz="0" w:space="0" w:color="auto"/>
        <w:right w:val="none" w:sz="0" w:space="0" w:color="auto"/>
      </w:divBdr>
    </w:div>
    <w:div w:id="1174416591">
      <w:bodyDiv w:val="1"/>
      <w:marLeft w:val="0"/>
      <w:marRight w:val="0"/>
      <w:marTop w:val="0"/>
      <w:marBottom w:val="0"/>
      <w:divBdr>
        <w:top w:val="none" w:sz="0" w:space="0" w:color="auto"/>
        <w:left w:val="none" w:sz="0" w:space="0" w:color="auto"/>
        <w:bottom w:val="none" w:sz="0" w:space="0" w:color="auto"/>
        <w:right w:val="none" w:sz="0" w:space="0" w:color="auto"/>
      </w:divBdr>
    </w:div>
    <w:div w:id="1554777654">
      <w:bodyDiv w:val="1"/>
      <w:marLeft w:val="0"/>
      <w:marRight w:val="0"/>
      <w:marTop w:val="0"/>
      <w:marBottom w:val="0"/>
      <w:divBdr>
        <w:top w:val="none" w:sz="0" w:space="0" w:color="auto"/>
        <w:left w:val="none" w:sz="0" w:space="0" w:color="auto"/>
        <w:bottom w:val="none" w:sz="0" w:space="0" w:color="auto"/>
        <w:right w:val="none" w:sz="0" w:space="0" w:color="auto"/>
      </w:divBdr>
    </w:div>
    <w:div w:id="1737359441">
      <w:bodyDiv w:val="1"/>
      <w:marLeft w:val="0"/>
      <w:marRight w:val="0"/>
      <w:marTop w:val="0"/>
      <w:marBottom w:val="0"/>
      <w:divBdr>
        <w:top w:val="none" w:sz="0" w:space="0" w:color="auto"/>
        <w:left w:val="none" w:sz="0" w:space="0" w:color="auto"/>
        <w:bottom w:val="none" w:sz="0" w:space="0" w:color="auto"/>
        <w:right w:val="none" w:sz="0" w:space="0" w:color="auto"/>
      </w:divBdr>
    </w:div>
    <w:div w:id="200974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hyperlink" Target="http://www.tariffnumber.com" TargetMode="External"/><Relationship Id="rId26" Type="http://schemas.openxmlformats.org/officeDocument/2006/relationships/hyperlink" Target="http://www.weatheronline.co.uk/reports/climate/Sweden.htm" TargetMode="External"/><Relationship Id="rId3" Type="http://schemas.openxmlformats.org/officeDocument/2006/relationships/styles" Target="styles.xml"/><Relationship Id="rId21" Type="http://schemas.openxmlformats.org/officeDocument/2006/relationships/hyperlink" Target="https://digitalcommons.unl.edu/honorstheses/141"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hyperlink" Target="http://www.thebalancesmb.com/history-of-chipotle-mexican-grill-3973222" TargetMode="External"/><Relationship Id="rId25" Type="http://schemas.openxmlformats.org/officeDocument/2006/relationships/hyperlink" Target="https://2009-2017.state.gov/e/eb/rls/othr/ics/2015/241690.ht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hipotle.com" TargetMode="External"/><Relationship Id="rId20" Type="http://schemas.openxmlformats.org/officeDocument/2006/relationships/hyperlink" Target="http://dx.doi.org/10.6027/ANP2015-723%20"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hyperlink" Target="http://www.ssb.no/en/befolkning/nokkeltall/population"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hyperlink" Target="http://www.globalcompliancenews.com/norway-foreign-ownership-20180223/" TargetMode="External"/><Relationship Id="rId28" Type="http://schemas.openxmlformats.org/officeDocument/2006/relationships/hyperlink" Target="http://www.cnbc.com/2018/05/23/chipotle-closing-denver-new-york-offices-moving-to-california.html" TargetMode="External"/><Relationship Id="rId10" Type="http://schemas.openxmlformats.org/officeDocument/2006/relationships/chart" Target="charts/chart2.xml"/><Relationship Id="rId19" Type="http://schemas.openxmlformats.org/officeDocument/2006/relationships/hyperlink" Target="http://www.focus-economics.com/regions/nordic-economies"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http://www.siccode.com/business/chipotle-mexican-grill-inc" TargetMode="External"/><Relationship Id="rId27" Type="http://schemas.openxmlformats.org/officeDocument/2006/relationships/hyperlink" Target="https://www.cnbc.com/sarah-whitten/" TargetMode="External"/><Relationship Id="rId30"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pPr>
            <a:r>
              <a:rPr lang="en-US"/>
              <a:t>GDP per Capita (in Billion NOK)</a:t>
            </a:r>
          </a:p>
        </c:rich>
      </c:tx>
      <c:overlay val="0"/>
    </c:title>
    <c:autoTitleDeleted val="0"/>
    <c:plotArea>
      <c:layout/>
      <c:lineChart>
        <c:grouping val="standard"/>
        <c:varyColors val="0"/>
        <c:ser>
          <c:idx val="0"/>
          <c:order val="0"/>
          <c:tx>
            <c:strRef>
              <c:f>Sheet1!$B$1</c:f>
              <c:strCache>
                <c:ptCount val="1"/>
                <c:pt idx="0">
                  <c:v>GDP (in Billion NOK)</c:v>
                </c:pt>
              </c:strCache>
            </c:strRef>
          </c:tx>
          <c:dLbls>
            <c:showLegendKey val="0"/>
            <c:showVal val="1"/>
            <c:showCatName val="0"/>
            <c:showSerName val="0"/>
            <c:showPercent val="0"/>
            <c:showBubbleSize val="0"/>
            <c:showLeaderLines val="0"/>
          </c:dLbls>
          <c:cat>
            <c:numRef>
              <c:f>Sheet1!$A$2:$A$10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Sheet1!$B$2:$B$10</c:f>
              <c:numCache>
                <c:formatCode>General</c:formatCode>
                <c:ptCount val="9"/>
                <c:pt idx="0">
                  <c:v>87770</c:v>
                </c:pt>
                <c:pt idx="1">
                  <c:v>87480</c:v>
                </c:pt>
                <c:pt idx="2">
                  <c:v>88689</c:v>
                </c:pt>
                <c:pt idx="3">
                  <c:v>88538</c:v>
                </c:pt>
                <c:pt idx="4">
                  <c:v>89274</c:v>
                </c:pt>
                <c:pt idx="5">
                  <c:v>90132</c:v>
                </c:pt>
                <c:pt idx="6">
                  <c:v>90492</c:v>
                </c:pt>
                <c:pt idx="7">
                  <c:v>91451</c:v>
                </c:pt>
                <c:pt idx="8">
                  <c:v>92121</c:v>
                </c:pt>
              </c:numCache>
            </c:numRef>
          </c:val>
          <c:smooth val="0"/>
        </c:ser>
        <c:dLbls>
          <c:showLegendKey val="0"/>
          <c:showVal val="0"/>
          <c:showCatName val="0"/>
          <c:showSerName val="0"/>
          <c:showPercent val="0"/>
          <c:showBubbleSize val="0"/>
        </c:dLbls>
        <c:marker val="1"/>
        <c:smooth val="0"/>
        <c:axId val="159635328"/>
        <c:axId val="159637504"/>
      </c:lineChart>
      <c:catAx>
        <c:axId val="159635328"/>
        <c:scaling>
          <c:orientation val="minMax"/>
        </c:scaling>
        <c:delete val="0"/>
        <c:axPos val="b"/>
        <c:minorGridlines/>
        <c:numFmt formatCode="General" sourceLinked="1"/>
        <c:majorTickMark val="none"/>
        <c:minorTickMark val="none"/>
        <c:tickLblPos val="nextTo"/>
        <c:txPr>
          <a:bodyPr rot="0" vert="horz"/>
          <a:lstStyle/>
          <a:p>
            <a:pPr>
              <a:defRPr/>
            </a:pPr>
            <a:endParaRPr lang="en-US"/>
          </a:p>
        </c:txPr>
        <c:crossAx val="159637504"/>
        <c:crosses val="autoZero"/>
        <c:auto val="1"/>
        <c:lblAlgn val="ctr"/>
        <c:lblOffset val="100"/>
        <c:noMultiLvlLbl val="0"/>
      </c:catAx>
      <c:valAx>
        <c:axId val="159637504"/>
        <c:scaling>
          <c:orientation val="minMax"/>
        </c:scaling>
        <c:delete val="1"/>
        <c:axPos val="l"/>
        <c:majorGridlines/>
        <c:minorGridlines/>
        <c:numFmt formatCode="General" sourceLinked="1"/>
        <c:majorTickMark val="out"/>
        <c:minorTickMark val="none"/>
        <c:tickLblPos val="nextTo"/>
        <c:crossAx val="159635328"/>
        <c:crosses val="autoZero"/>
        <c:crossBetween val="between"/>
      </c:valAx>
      <c:dTable>
        <c:showHorzBorder val="1"/>
        <c:showVertBorder val="1"/>
        <c:showOutline val="1"/>
        <c:showKeys val="1"/>
      </c:dTable>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defRPr/>
            </a:pPr>
            <a:r>
              <a:rPr lang="en-US"/>
              <a:t>GDP Per Capita (USD)</a:t>
            </a:r>
          </a:p>
        </c:rich>
      </c:tx>
      <c:overlay val="0"/>
    </c:title>
    <c:autoTitleDeleted val="0"/>
    <c:plotArea>
      <c:layout/>
      <c:lineChart>
        <c:grouping val="standard"/>
        <c:varyColors val="0"/>
        <c:ser>
          <c:idx val="0"/>
          <c:order val="0"/>
          <c:tx>
            <c:strRef>
              <c:f>Sheet1!$B$1</c:f>
              <c:strCache>
                <c:ptCount val="1"/>
                <c:pt idx="0">
                  <c:v>GDP Per Capita ()</c:v>
                </c:pt>
              </c:strCache>
            </c:strRef>
          </c:tx>
          <c:dLbls>
            <c:dLblPos val="t"/>
            <c:showLegendKey val="0"/>
            <c:showVal val="1"/>
            <c:showCatName val="0"/>
            <c:showSerName val="0"/>
            <c:showPercent val="0"/>
            <c:showBubbleSize val="0"/>
            <c:showLeaderLines val="0"/>
          </c:dLbls>
          <c:cat>
            <c:numRef>
              <c:f>Sheet1!$A$2:$A$10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Sheet1!$B$2:$B$10</c:f>
              <c:numCache>
                <c:formatCode>General</c:formatCode>
                <c:ptCount val="9"/>
                <c:pt idx="0">
                  <c:v>52132</c:v>
                </c:pt>
                <c:pt idx="1">
                  <c:v>53127</c:v>
                </c:pt>
                <c:pt idx="2">
                  <c:v>52578</c:v>
                </c:pt>
                <c:pt idx="3">
                  <c:v>52780</c:v>
                </c:pt>
                <c:pt idx="4">
                  <c:v>53718</c:v>
                </c:pt>
                <c:pt idx="5">
                  <c:v>55419</c:v>
                </c:pt>
                <c:pt idx="6">
                  <c:v>56195</c:v>
                </c:pt>
                <c:pt idx="7">
                  <c:v>56619</c:v>
                </c:pt>
                <c:pt idx="8">
                  <c:v>57232</c:v>
                </c:pt>
              </c:numCache>
            </c:numRef>
          </c:val>
          <c:smooth val="0"/>
        </c:ser>
        <c:dLbls>
          <c:showLegendKey val="0"/>
          <c:showVal val="0"/>
          <c:showCatName val="0"/>
          <c:showSerName val="0"/>
          <c:showPercent val="0"/>
          <c:showBubbleSize val="0"/>
        </c:dLbls>
        <c:marker val="1"/>
        <c:smooth val="0"/>
        <c:axId val="160084352"/>
        <c:axId val="160086272"/>
      </c:lineChart>
      <c:catAx>
        <c:axId val="160084352"/>
        <c:scaling>
          <c:orientation val="minMax"/>
        </c:scaling>
        <c:delete val="0"/>
        <c:axPos val="b"/>
        <c:majorGridlines/>
        <c:minorGridlines/>
        <c:numFmt formatCode="General" sourceLinked="1"/>
        <c:majorTickMark val="out"/>
        <c:minorTickMark val="none"/>
        <c:tickLblPos val="nextTo"/>
        <c:crossAx val="160086272"/>
        <c:crosses val="autoZero"/>
        <c:auto val="1"/>
        <c:lblAlgn val="ctr"/>
        <c:lblOffset val="100"/>
        <c:noMultiLvlLbl val="0"/>
      </c:catAx>
      <c:valAx>
        <c:axId val="160086272"/>
        <c:scaling>
          <c:orientation val="minMax"/>
        </c:scaling>
        <c:delete val="0"/>
        <c:axPos val="l"/>
        <c:majorGridlines/>
        <c:minorGridlines/>
        <c:numFmt formatCode="General" sourceLinked="1"/>
        <c:majorTickMark val="out"/>
        <c:minorTickMark val="none"/>
        <c:tickLblPos val="nextTo"/>
        <c:crossAx val="160084352"/>
        <c:crosses val="autoZero"/>
        <c:crossBetween val="between"/>
      </c:valAx>
      <c:dTable>
        <c:showHorzBorder val="1"/>
        <c:showVertBorder val="1"/>
        <c:showOutline val="1"/>
        <c:showKeys val="1"/>
      </c:dTable>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GDP Contribution from the Service Sector</a:t>
            </a:r>
          </a:p>
        </c:rich>
      </c:tx>
      <c:overlay val="0"/>
    </c:title>
    <c:autoTitleDeleted val="0"/>
    <c:plotArea>
      <c:layout/>
      <c:lineChart>
        <c:grouping val="standard"/>
        <c:varyColors val="0"/>
        <c:ser>
          <c:idx val="0"/>
          <c:order val="0"/>
          <c:tx>
            <c:strRef>
              <c:f>Sheet1!$B$1</c:f>
              <c:strCache>
                <c:ptCount val="1"/>
                <c:pt idx="0">
                  <c:v>Norway (in Billion USD)</c:v>
                </c:pt>
              </c:strCache>
            </c:strRef>
          </c:tx>
          <c:marker>
            <c:symbol val="none"/>
          </c:marker>
          <c:cat>
            <c:numRef>
              <c:f>Sheet1!$A$2:$A$10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Sheet1!$B$2:$B$10</c:f>
              <c:numCache>
                <c:formatCode>General</c:formatCode>
                <c:ptCount val="9"/>
                <c:pt idx="0">
                  <c:v>46000</c:v>
                </c:pt>
                <c:pt idx="1">
                  <c:v>46000</c:v>
                </c:pt>
                <c:pt idx="2">
                  <c:v>46000</c:v>
                </c:pt>
                <c:pt idx="3">
                  <c:v>45000</c:v>
                </c:pt>
                <c:pt idx="4">
                  <c:v>46300</c:v>
                </c:pt>
                <c:pt idx="5">
                  <c:v>47000</c:v>
                </c:pt>
                <c:pt idx="6">
                  <c:v>49000</c:v>
                </c:pt>
                <c:pt idx="7">
                  <c:v>50000</c:v>
                </c:pt>
                <c:pt idx="8">
                  <c:v>53000</c:v>
                </c:pt>
              </c:numCache>
            </c:numRef>
          </c:val>
          <c:smooth val="0"/>
        </c:ser>
        <c:ser>
          <c:idx val="1"/>
          <c:order val="1"/>
          <c:tx>
            <c:strRef>
              <c:f>Sheet1!$C$1</c:f>
              <c:strCache>
                <c:ptCount val="1"/>
                <c:pt idx="0">
                  <c:v>Sweden(in Billion USD)</c:v>
                </c:pt>
              </c:strCache>
            </c:strRef>
          </c:tx>
          <c:marker>
            <c:symbol val="none"/>
          </c:marker>
          <c:cat>
            <c:numRef>
              <c:f>Sheet1!$A$2:$A$10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Sheet1!$C$2:$C$10</c:f>
              <c:numCache>
                <c:formatCode>General</c:formatCode>
                <c:ptCount val="9"/>
                <c:pt idx="0">
                  <c:v>40000</c:v>
                </c:pt>
                <c:pt idx="1">
                  <c:v>42500</c:v>
                </c:pt>
                <c:pt idx="2">
                  <c:v>44000</c:v>
                </c:pt>
                <c:pt idx="3">
                  <c:v>45000</c:v>
                </c:pt>
                <c:pt idx="4">
                  <c:v>47000</c:v>
                </c:pt>
                <c:pt idx="5">
                  <c:v>48000</c:v>
                </c:pt>
                <c:pt idx="6">
                  <c:v>52000</c:v>
                </c:pt>
                <c:pt idx="7">
                  <c:v>55000</c:v>
                </c:pt>
                <c:pt idx="8">
                  <c:v>59000</c:v>
                </c:pt>
              </c:numCache>
            </c:numRef>
          </c:val>
          <c:smooth val="0"/>
        </c:ser>
        <c:dLbls>
          <c:showLegendKey val="0"/>
          <c:showVal val="0"/>
          <c:showCatName val="0"/>
          <c:showSerName val="0"/>
          <c:showPercent val="0"/>
          <c:showBubbleSize val="0"/>
        </c:dLbls>
        <c:marker val="1"/>
        <c:smooth val="0"/>
        <c:axId val="161337344"/>
        <c:axId val="161340800"/>
      </c:lineChart>
      <c:catAx>
        <c:axId val="161337344"/>
        <c:scaling>
          <c:orientation val="minMax"/>
        </c:scaling>
        <c:delete val="0"/>
        <c:axPos val="b"/>
        <c:title>
          <c:tx>
            <c:rich>
              <a:bodyPr/>
              <a:lstStyle/>
              <a:p>
                <a:pPr>
                  <a:defRPr/>
                </a:pPr>
                <a:r>
                  <a:rPr lang="en-US"/>
                  <a:t>Years</a:t>
                </a:r>
              </a:p>
            </c:rich>
          </c:tx>
          <c:overlay val="0"/>
        </c:title>
        <c:numFmt formatCode="General" sourceLinked="1"/>
        <c:majorTickMark val="out"/>
        <c:minorTickMark val="none"/>
        <c:tickLblPos val="nextTo"/>
        <c:crossAx val="161340800"/>
        <c:crosses val="autoZero"/>
        <c:auto val="1"/>
        <c:lblAlgn val="ctr"/>
        <c:lblOffset val="100"/>
        <c:noMultiLvlLbl val="0"/>
      </c:catAx>
      <c:valAx>
        <c:axId val="161340800"/>
        <c:scaling>
          <c:orientation val="minMax"/>
        </c:scaling>
        <c:delete val="0"/>
        <c:axPos val="l"/>
        <c:majorGridlines/>
        <c:numFmt formatCode="General" sourceLinked="1"/>
        <c:majorTickMark val="out"/>
        <c:minorTickMark val="none"/>
        <c:tickLblPos val="nextTo"/>
        <c:crossAx val="16133734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key consumer</a:t>
            </a:r>
            <a:r>
              <a:rPr lang="en-US" baseline="0"/>
              <a:t> measures</a:t>
            </a:r>
            <a:endParaRPr lang="en-US"/>
          </a:p>
        </c:rich>
      </c:tx>
      <c:overlay val="0"/>
    </c:title>
    <c:autoTitleDeleted val="0"/>
    <c:plotArea>
      <c:layout/>
      <c:barChart>
        <c:barDir val="col"/>
        <c:grouping val="clustered"/>
        <c:varyColors val="0"/>
        <c:ser>
          <c:idx val="0"/>
          <c:order val="0"/>
          <c:tx>
            <c:strRef>
              <c:f>Sheet1!$B$1</c:f>
              <c:strCache>
                <c:ptCount val="1"/>
                <c:pt idx="0">
                  <c:v>HH Saving Rate</c:v>
                </c:pt>
              </c:strCache>
            </c:strRef>
          </c:tx>
          <c:invertIfNegative val="0"/>
          <c:cat>
            <c:strRef>
              <c:f>Sheet1!$A$2:$A$3</c:f>
              <c:strCache>
                <c:ptCount val="2"/>
                <c:pt idx="0">
                  <c:v>NORWAY</c:v>
                </c:pt>
                <c:pt idx="1">
                  <c:v>SWEDEN</c:v>
                </c:pt>
              </c:strCache>
            </c:strRef>
          </c:cat>
          <c:val>
            <c:numRef>
              <c:f>Sheet1!$B$2:$B$3</c:f>
              <c:numCache>
                <c:formatCode>General</c:formatCode>
                <c:ptCount val="2"/>
                <c:pt idx="0">
                  <c:v>7</c:v>
                </c:pt>
                <c:pt idx="1">
                  <c:v>30.52</c:v>
                </c:pt>
              </c:numCache>
            </c:numRef>
          </c:val>
        </c:ser>
        <c:ser>
          <c:idx val="1"/>
          <c:order val="1"/>
          <c:tx>
            <c:strRef>
              <c:f>Sheet1!$C$1</c:f>
              <c:strCache>
                <c:ptCount val="1"/>
                <c:pt idx="0">
                  <c:v>consumer Confidence Index</c:v>
                </c:pt>
              </c:strCache>
            </c:strRef>
          </c:tx>
          <c:invertIfNegative val="0"/>
          <c:cat>
            <c:strRef>
              <c:f>Sheet1!$A$2:$A$3</c:f>
              <c:strCache>
                <c:ptCount val="2"/>
                <c:pt idx="0">
                  <c:v>NORWAY</c:v>
                </c:pt>
                <c:pt idx="1">
                  <c:v>SWEDEN</c:v>
                </c:pt>
              </c:strCache>
            </c:strRef>
          </c:cat>
          <c:val>
            <c:numRef>
              <c:f>Sheet1!$C$2:$C$3</c:f>
              <c:numCache>
                <c:formatCode>General</c:formatCode>
                <c:ptCount val="2"/>
                <c:pt idx="0">
                  <c:v>13.4</c:v>
                </c:pt>
                <c:pt idx="1">
                  <c:v>91.9</c:v>
                </c:pt>
              </c:numCache>
            </c:numRef>
          </c:val>
        </c:ser>
        <c:ser>
          <c:idx val="2"/>
          <c:order val="2"/>
          <c:tx>
            <c:strRef>
              <c:f>Sheet1!$D$1</c:f>
              <c:strCache>
                <c:ptCount val="1"/>
                <c:pt idx="0">
                  <c:v>HH Consumption Index</c:v>
                </c:pt>
              </c:strCache>
            </c:strRef>
          </c:tx>
          <c:invertIfNegative val="0"/>
          <c:cat>
            <c:strRef>
              <c:f>Sheet1!$A$2:$A$3</c:f>
              <c:strCache>
                <c:ptCount val="2"/>
                <c:pt idx="0">
                  <c:v>NORWAY</c:v>
                </c:pt>
                <c:pt idx="1">
                  <c:v>SWEDEN</c:v>
                </c:pt>
              </c:strCache>
            </c:strRef>
          </c:cat>
          <c:val>
            <c:numRef>
              <c:f>Sheet1!$D$2:$D$3</c:f>
              <c:numCache>
                <c:formatCode>General</c:formatCode>
                <c:ptCount val="2"/>
                <c:pt idx="0">
                  <c:v>-10</c:v>
                </c:pt>
                <c:pt idx="1">
                  <c:v>8</c:v>
                </c:pt>
              </c:numCache>
            </c:numRef>
          </c:val>
        </c:ser>
        <c:ser>
          <c:idx val="3"/>
          <c:order val="3"/>
          <c:tx>
            <c:strRef>
              <c:f>Sheet1!$E$1</c:f>
              <c:strCache>
                <c:ptCount val="1"/>
                <c:pt idx="0">
                  <c:v>retail sale index (MoM)</c:v>
                </c:pt>
              </c:strCache>
            </c:strRef>
          </c:tx>
          <c:invertIfNegative val="0"/>
          <c:cat>
            <c:strRef>
              <c:f>Sheet1!$A$2:$A$3</c:f>
              <c:strCache>
                <c:ptCount val="2"/>
                <c:pt idx="0">
                  <c:v>NORWAY</c:v>
                </c:pt>
                <c:pt idx="1">
                  <c:v>SWEDEN</c:v>
                </c:pt>
              </c:strCache>
            </c:strRef>
          </c:cat>
          <c:val>
            <c:numRef>
              <c:f>Sheet1!$E$2:$E$3</c:f>
              <c:numCache>
                <c:formatCode>General</c:formatCode>
                <c:ptCount val="2"/>
                <c:pt idx="0">
                  <c:v>-8</c:v>
                </c:pt>
                <c:pt idx="1">
                  <c:v>2</c:v>
                </c:pt>
              </c:numCache>
            </c:numRef>
          </c:val>
        </c:ser>
        <c:ser>
          <c:idx val="4"/>
          <c:order val="4"/>
          <c:tx>
            <c:strRef>
              <c:f>Sheet1!$F$1</c:f>
              <c:strCache>
                <c:ptCount val="1"/>
                <c:pt idx="0">
                  <c:v>retail sale (YoY)</c:v>
                </c:pt>
              </c:strCache>
            </c:strRef>
          </c:tx>
          <c:invertIfNegative val="0"/>
          <c:cat>
            <c:strRef>
              <c:f>Sheet1!$A$2:$A$3</c:f>
              <c:strCache>
                <c:ptCount val="2"/>
                <c:pt idx="0">
                  <c:v>NORWAY</c:v>
                </c:pt>
                <c:pt idx="1">
                  <c:v>SWEDEN</c:v>
                </c:pt>
              </c:strCache>
            </c:strRef>
          </c:cat>
          <c:val>
            <c:numRef>
              <c:f>Sheet1!$F$2:$F$3</c:f>
              <c:numCache>
                <c:formatCode>General</c:formatCode>
                <c:ptCount val="2"/>
                <c:pt idx="0">
                  <c:v>-3</c:v>
                </c:pt>
                <c:pt idx="1">
                  <c:v>3.3</c:v>
                </c:pt>
              </c:numCache>
            </c:numRef>
          </c:val>
        </c:ser>
        <c:dLbls>
          <c:showLegendKey val="0"/>
          <c:showVal val="0"/>
          <c:showCatName val="0"/>
          <c:showSerName val="0"/>
          <c:showPercent val="0"/>
          <c:showBubbleSize val="0"/>
        </c:dLbls>
        <c:gapWidth val="150"/>
        <c:axId val="162584448"/>
        <c:axId val="162585984"/>
      </c:barChart>
      <c:catAx>
        <c:axId val="162584448"/>
        <c:scaling>
          <c:orientation val="minMax"/>
        </c:scaling>
        <c:delete val="0"/>
        <c:axPos val="b"/>
        <c:majorTickMark val="out"/>
        <c:minorTickMark val="none"/>
        <c:tickLblPos val="nextTo"/>
        <c:crossAx val="162585984"/>
        <c:crosses val="autoZero"/>
        <c:auto val="1"/>
        <c:lblAlgn val="ctr"/>
        <c:lblOffset val="100"/>
        <c:noMultiLvlLbl val="0"/>
      </c:catAx>
      <c:valAx>
        <c:axId val="162585984"/>
        <c:scaling>
          <c:orientation val="minMax"/>
        </c:scaling>
        <c:delete val="0"/>
        <c:axPos val="l"/>
        <c:majorGridlines/>
        <c:title>
          <c:tx>
            <c:rich>
              <a:bodyPr rot="0" vert="horz"/>
              <a:lstStyle/>
              <a:p>
                <a:pPr>
                  <a:defRPr/>
                </a:pPr>
                <a:r>
                  <a:rPr lang="en-US"/>
                  <a:t>Rate</a:t>
                </a:r>
                <a:r>
                  <a:rPr lang="en-US" baseline="0"/>
                  <a:t> in %</a:t>
                </a:r>
                <a:endParaRPr lang="en-US"/>
              </a:p>
            </c:rich>
          </c:tx>
          <c:overlay val="0"/>
        </c:title>
        <c:numFmt formatCode="General" sourceLinked="1"/>
        <c:majorTickMark val="out"/>
        <c:minorTickMark val="none"/>
        <c:tickLblPos val="nextTo"/>
        <c:crossAx val="16258444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key taxes</a:t>
            </a:r>
          </a:p>
        </c:rich>
      </c:tx>
      <c:overlay val="0"/>
    </c:title>
    <c:autoTitleDeleted val="0"/>
    <c:plotArea>
      <c:layout/>
      <c:barChart>
        <c:barDir val="col"/>
        <c:grouping val="clustered"/>
        <c:varyColors val="0"/>
        <c:ser>
          <c:idx val="0"/>
          <c:order val="0"/>
          <c:tx>
            <c:strRef>
              <c:f>Sheet1!$B$1</c:f>
              <c:strCache>
                <c:ptCount val="1"/>
                <c:pt idx="0">
                  <c:v>Corporate Tax Rate</c:v>
                </c:pt>
              </c:strCache>
            </c:strRef>
          </c:tx>
          <c:invertIfNegative val="0"/>
          <c:cat>
            <c:strRef>
              <c:f>Sheet1!$A$2:$A$3</c:f>
              <c:strCache>
                <c:ptCount val="2"/>
                <c:pt idx="0">
                  <c:v>SWEDEN</c:v>
                </c:pt>
                <c:pt idx="1">
                  <c:v>NORWAY</c:v>
                </c:pt>
              </c:strCache>
            </c:strRef>
          </c:cat>
          <c:val>
            <c:numRef>
              <c:f>Sheet1!$B$2:$B$3</c:f>
              <c:numCache>
                <c:formatCode>General</c:formatCode>
                <c:ptCount val="2"/>
                <c:pt idx="0">
                  <c:v>21.4</c:v>
                </c:pt>
                <c:pt idx="1">
                  <c:v>22</c:v>
                </c:pt>
              </c:numCache>
            </c:numRef>
          </c:val>
        </c:ser>
        <c:ser>
          <c:idx val="1"/>
          <c:order val="1"/>
          <c:tx>
            <c:strRef>
              <c:f>Sheet1!$C$1</c:f>
              <c:strCache>
                <c:ptCount val="1"/>
                <c:pt idx="0">
                  <c:v>Personal Income Tax</c:v>
                </c:pt>
              </c:strCache>
            </c:strRef>
          </c:tx>
          <c:invertIfNegative val="0"/>
          <c:cat>
            <c:strRef>
              <c:f>Sheet1!$A$2:$A$3</c:f>
              <c:strCache>
                <c:ptCount val="2"/>
                <c:pt idx="0">
                  <c:v>SWEDEN</c:v>
                </c:pt>
                <c:pt idx="1">
                  <c:v>NORWAY</c:v>
                </c:pt>
              </c:strCache>
            </c:strRef>
          </c:cat>
          <c:val>
            <c:numRef>
              <c:f>Sheet1!$C$2:$C$3</c:f>
              <c:numCache>
                <c:formatCode>General</c:formatCode>
                <c:ptCount val="2"/>
                <c:pt idx="0">
                  <c:v>57.2</c:v>
                </c:pt>
                <c:pt idx="1">
                  <c:v>38.520000000000003</c:v>
                </c:pt>
              </c:numCache>
            </c:numRef>
          </c:val>
        </c:ser>
        <c:ser>
          <c:idx val="2"/>
          <c:order val="2"/>
          <c:tx>
            <c:strRef>
              <c:f>Sheet1!$D$1</c:f>
              <c:strCache>
                <c:ptCount val="1"/>
                <c:pt idx="0">
                  <c:v>sales tax</c:v>
                </c:pt>
              </c:strCache>
            </c:strRef>
          </c:tx>
          <c:invertIfNegative val="0"/>
          <c:cat>
            <c:strRef>
              <c:f>Sheet1!$A$2:$A$3</c:f>
              <c:strCache>
                <c:ptCount val="2"/>
                <c:pt idx="0">
                  <c:v>SWEDEN</c:v>
                </c:pt>
                <c:pt idx="1">
                  <c:v>NORWAY</c:v>
                </c:pt>
              </c:strCache>
            </c:strRef>
          </c:cat>
          <c:val>
            <c:numRef>
              <c:f>Sheet1!$D$2:$D$3</c:f>
              <c:numCache>
                <c:formatCode>General</c:formatCode>
                <c:ptCount val="2"/>
                <c:pt idx="0">
                  <c:v>25</c:v>
                </c:pt>
                <c:pt idx="1">
                  <c:v>25</c:v>
                </c:pt>
              </c:numCache>
            </c:numRef>
          </c:val>
        </c:ser>
        <c:ser>
          <c:idx val="3"/>
          <c:order val="3"/>
          <c:tx>
            <c:strRef>
              <c:f>Sheet1!$E$1</c:f>
              <c:strCache>
                <c:ptCount val="1"/>
                <c:pt idx="0">
                  <c:v>social security for companies</c:v>
                </c:pt>
              </c:strCache>
            </c:strRef>
          </c:tx>
          <c:invertIfNegative val="0"/>
          <c:cat>
            <c:strRef>
              <c:f>Sheet1!$A$2:$A$3</c:f>
              <c:strCache>
                <c:ptCount val="2"/>
                <c:pt idx="0">
                  <c:v>SWEDEN</c:v>
                </c:pt>
                <c:pt idx="1">
                  <c:v>NORWAY</c:v>
                </c:pt>
              </c:strCache>
            </c:strRef>
          </c:cat>
          <c:val>
            <c:numRef>
              <c:f>Sheet1!$E$2:$E$3</c:f>
              <c:numCache>
                <c:formatCode>General</c:formatCode>
                <c:ptCount val="2"/>
                <c:pt idx="0">
                  <c:v>31.42</c:v>
                </c:pt>
                <c:pt idx="1">
                  <c:v>14.1</c:v>
                </c:pt>
              </c:numCache>
            </c:numRef>
          </c:val>
        </c:ser>
        <c:ser>
          <c:idx val="4"/>
          <c:order val="4"/>
          <c:tx>
            <c:strRef>
              <c:f>Sheet1!$F$1</c:f>
              <c:strCache>
                <c:ptCount val="1"/>
                <c:pt idx="0">
                  <c:v>social security rate for Employees</c:v>
                </c:pt>
              </c:strCache>
            </c:strRef>
          </c:tx>
          <c:invertIfNegative val="0"/>
          <c:cat>
            <c:strRef>
              <c:f>Sheet1!$A$2:$A$3</c:f>
              <c:strCache>
                <c:ptCount val="2"/>
                <c:pt idx="0">
                  <c:v>SWEDEN</c:v>
                </c:pt>
                <c:pt idx="1">
                  <c:v>NORWAY</c:v>
                </c:pt>
              </c:strCache>
            </c:strRef>
          </c:cat>
          <c:val>
            <c:numRef>
              <c:f>Sheet1!$F$2:$F$3</c:f>
              <c:numCache>
                <c:formatCode>General</c:formatCode>
                <c:ptCount val="2"/>
                <c:pt idx="0">
                  <c:v>7</c:v>
                </c:pt>
                <c:pt idx="1">
                  <c:v>8.1999999999999993</c:v>
                </c:pt>
              </c:numCache>
            </c:numRef>
          </c:val>
        </c:ser>
        <c:dLbls>
          <c:showLegendKey val="0"/>
          <c:showVal val="0"/>
          <c:showCatName val="0"/>
          <c:showSerName val="0"/>
          <c:showPercent val="0"/>
          <c:showBubbleSize val="0"/>
        </c:dLbls>
        <c:gapWidth val="150"/>
        <c:axId val="168950016"/>
        <c:axId val="170952192"/>
      </c:barChart>
      <c:catAx>
        <c:axId val="168950016"/>
        <c:scaling>
          <c:orientation val="minMax"/>
        </c:scaling>
        <c:delete val="0"/>
        <c:axPos val="b"/>
        <c:majorTickMark val="out"/>
        <c:minorTickMark val="none"/>
        <c:tickLblPos val="nextTo"/>
        <c:crossAx val="170952192"/>
        <c:crosses val="autoZero"/>
        <c:auto val="1"/>
        <c:lblAlgn val="ctr"/>
        <c:lblOffset val="100"/>
        <c:noMultiLvlLbl val="0"/>
      </c:catAx>
      <c:valAx>
        <c:axId val="170952192"/>
        <c:scaling>
          <c:orientation val="minMax"/>
        </c:scaling>
        <c:delete val="0"/>
        <c:axPos val="l"/>
        <c:majorGridlines/>
        <c:title>
          <c:tx>
            <c:rich>
              <a:bodyPr rot="0" vert="horz"/>
              <a:lstStyle/>
              <a:p>
                <a:pPr>
                  <a:defRPr/>
                </a:pPr>
                <a:r>
                  <a:rPr lang="en-US"/>
                  <a:t>Rate</a:t>
                </a:r>
                <a:r>
                  <a:rPr lang="en-US" baseline="0"/>
                  <a:t> in %</a:t>
                </a:r>
                <a:endParaRPr lang="en-US"/>
              </a:p>
            </c:rich>
          </c:tx>
          <c:overlay val="0"/>
        </c:title>
        <c:numFmt formatCode="General" sourceLinked="1"/>
        <c:majorTickMark val="out"/>
        <c:minorTickMark val="none"/>
        <c:tickLblPos val="nextTo"/>
        <c:crossAx val="168950016"/>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Comparison</a:t>
            </a:r>
            <a:r>
              <a:rPr lang="en-US" baseline="0"/>
              <a:t> of Interest Rate</a:t>
            </a:r>
            <a:endParaRPr lang="en-US"/>
          </a:p>
        </c:rich>
      </c:tx>
      <c:overlay val="0"/>
    </c:title>
    <c:autoTitleDeleted val="0"/>
    <c:plotArea>
      <c:layout/>
      <c:lineChart>
        <c:grouping val="standard"/>
        <c:varyColors val="0"/>
        <c:ser>
          <c:idx val="0"/>
          <c:order val="0"/>
          <c:tx>
            <c:strRef>
              <c:f>Sheet1!$B$1</c:f>
              <c:strCache>
                <c:ptCount val="1"/>
                <c:pt idx="0">
                  <c:v>Norway's interet rate</c:v>
                </c:pt>
              </c:strCache>
            </c:strRef>
          </c:tx>
          <c:marker>
            <c:symbol val="none"/>
          </c:marker>
          <c:cat>
            <c:numRef>
              <c:f>Sheet1!$A$2:$A$11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Sheet1!$B$2:$B$11</c:f>
              <c:numCache>
                <c:formatCode>General</c:formatCode>
                <c:ptCount val="10"/>
                <c:pt idx="0">
                  <c:v>1.7</c:v>
                </c:pt>
                <c:pt idx="1">
                  <c:v>2</c:v>
                </c:pt>
                <c:pt idx="2">
                  <c:v>1.7</c:v>
                </c:pt>
                <c:pt idx="3">
                  <c:v>1.5</c:v>
                </c:pt>
                <c:pt idx="4">
                  <c:v>1.5</c:v>
                </c:pt>
                <c:pt idx="5">
                  <c:v>1.5</c:v>
                </c:pt>
                <c:pt idx="6">
                  <c:v>0.7</c:v>
                </c:pt>
                <c:pt idx="7">
                  <c:v>0.5</c:v>
                </c:pt>
                <c:pt idx="8">
                  <c:v>0.5</c:v>
                </c:pt>
                <c:pt idx="9">
                  <c:v>1.5</c:v>
                </c:pt>
              </c:numCache>
            </c:numRef>
          </c:val>
          <c:smooth val="0"/>
        </c:ser>
        <c:ser>
          <c:idx val="1"/>
          <c:order val="1"/>
          <c:tx>
            <c:strRef>
              <c:f>Sheet1!$C$1</c:f>
              <c:strCache>
                <c:ptCount val="1"/>
                <c:pt idx="0">
                  <c:v>sweden's Interest rate</c:v>
                </c:pt>
              </c:strCache>
            </c:strRef>
          </c:tx>
          <c:marker>
            <c:symbol val="none"/>
          </c:marker>
          <c:cat>
            <c:numRef>
              <c:f>Sheet1!$A$2:$A$11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Sheet1!$C$2:$C$11</c:f>
              <c:numCache>
                <c:formatCode>General</c:formatCode>
                <c:ptCount val="10"/>
                <c:pt idx="0">
                  <c:v>0.4</c:v>
                </c:pt>
                <c:pt idx="1">
                  <c:v>1</c:v>
                </c:pt>
                <c:pt idx="2">
                  <c:v>1.5</c:v>
                </c:pt>
                <c:pt idx="3">
                  <c:v>1</c:v>
                </c:pt>
                <c:pt idx="4">
                  <c:v>0.8</c:v>
                </c:pt>
                <c:pt idx="5">
                  <c:v>0</c:v>
                </c:pt>
                <c:pt idx="6">
                  <c:v>-0.4</c:v>
                </c:pt>
                <c:pt idx="7">
                  <c:v>-0.4</c:v>
                </c:pt>
                <c:pt idx="8">
                  <c:v>-0.4</c:v>
                </c:pt>
                <c:pt idx="9">
                  <c:v>-0.2</c:v>
                </c:pt>
              </c:numCache>
            </c:numRef>
          </c:val>
          <c:smooth val="0"/>
        </c:ser>
        <c:dLbls>
          <c:showLegendKey val="0"/>
          <c:showVal val="0"/>
          <c:showCatName val="0"/>
          <c:showSerName val="0"/>
          <c:showPercent val="0"/>
          <c:showBubbleSize val="0"/>
        </c:dLbls>
        <c:marker val="1"/>
        <c:smooth val="0"/>
        <c:axId val="172143744"/>
        <c:axId val="172146048"/>
      </c:lineChart>
      <c:catAx>
        <c:axId val="172143744"/>
        <c:scaling>
          <c:orientation val="minMax"/>
        </c:scaling>
        <c:delete val="0"/>
        <c:axPos val="b"/>
        <c:majorGridlines/>
        <c:minorGridlines/>
        <c:numFmt formatCode="General" sourceLinked="1"/>
        <c:majorTickMark val="out"/>
        <c:minorTickMark val="none"/>
        <c:tickLblPos val="nextTo"/>
        <c:crossAx val="172146048"/>
        <c:crosses val="autoZero"/>
        <c:auto val="1"/>
        <c:lblAlgn val="ctr"/>
        <c:lblOffset val="100"/>
        <c:noMultiLvlLbl val="0"/>
      </c:catAx>
      <c:valAx>
        <c:axId val="172146048"/>
        <c:scaling>
          <c:orientation val="minMax"/>
        </c:scaling>
        <c:delete val="0"/>
        <c:axPos val="l"/>
        <c:majorGridlines/>
        <c:minorGridlines/>
        <c:title>
          <c:tx>
            <c:rich>
              <a:bodyPr rot="-5400000" vert="horz"/>
              <a:lstStyle/>
              <a:p>
                <a:pPr>
                  <a:defRPr/>
                </a:pPr>
                <a:r>
                  <a:rPr lang="en-US"/>
                  <a:t>interest</a:t>
                </a:r>
                <a:r>
                  <a:rPr lang="en-US" baseline="0"/>
                  <a:t> rate</a:t>
                </a:r>
                <a:endParaRPr lang="en-US"/>
              </a:p>
            </c:rich>
          </c:tx>
          <c:layout>
            <c:manualLayout>
              <c:xMode val="edge"/>
              <c:yMode val="edge"/>
              <c:x val="0.17543859649122806"/>
              <c:y val="0.37101074022188946"/>
            </c:manualLayout>
          </c:layout>
          <c:overlay val="0"/>
        </c:title>
        <c:numFmt formatCode="General" sourceLinked="1"/>
        <c:majorTickMark val="out"/>
        <c:minorTickMark val="none"/>
        <c:tickLblPos val="nextTo"/>
        <c:crossAx val="17214374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Comparison of Foreign Exchange</a:t>
            </a:r>
            <a:r>
              <a:rPr lang="en-US" baseline="0"/>
              <a:t> Reserves </a:t>
            </a:r>
            <a:endParaRPr lang="en-US"/>
          </a:p>
        </c:rich>
      </c:tx>
      <c:overlay val="0"/>
    </c:title>
    <c:autoTitleDeleted val="0"/>
    <c:plotArea>
      <c:layout/>
      <c:barChart>
        <c:barDir val="col"/>
        <c:grouping val="clustered"/>
        <c:varyColors val="0"/>
        <c:ser>
          <c:idx val="0"/>
          <c:order val="0"/>
          <c:tx>
            <c:strRef>
              <c:f>Sheet1!$B$1</c:f>
              <c:strCache>
                <c:ptCount val="1"/>
                <c:pt idx="0">
                  <c:v>Sweden's Foreign Reserves</c:v>
                </c:pt>
              </c:strCache>
            </c:strRef>
          </c:tx>
          <c:invertIfNegative val="0"/>
          <c:cat>
            <c:numRef>
              <c:f>Sheet1!$A$2:$A$5</c:f>
              <c:numCache>
                <c:formatCode>General</c:formatCode>
                <c:ptCount val="4"/>
                <c:pt idx="0">
                  <c:v>2015</c:v>
                </c:pt>
                <c:pt idx="1">
                  <c:v>2016</c:v>
                </c:pt>
                <c:pt idx="2">
                  <c:v>2017</c:v>
                </c:pt>
                <c:pt idx="3">
                  <c:v>2018</c:v>
                </c:pt>
              </c:numCache>
            </c:numRef>
          </c:cat>
          <c:val>
            <c:numRef>
              <c:f>Sheet1!$B$2:$B$5</c:f>
              <c:numCache>
                <c:formatCode>General</c:formatCode>
                <c:ptCount val="4"/>
                <c:pt idx="0">
                  <c:v>4.3</c:v>
                </c:pt>
                <c:pt idx="1">
                  <c:v>2.5</c:v>
                </c:pt>
                <c:pt idx="2">
                  <c:v>3.5</c:v>
                </c:pt>
                <c:pt idx="3">
                  <c:v>4.5</c:v>
                </c:pt>
              </c:numCache>
            </c:numRef>
          </c:val>
        </c:ser>
        <c:ser>
          <c:idx val="1"/>
          <c:order val="1"/>
          <c:tx>
            <c:strRef>
              <c:f>Sheet1!$C$1</c:f>
              <c:strCache>
                <c:ptCount val="1"/>
                <c:pt idx="0">
                  <c:v>Norway's Foreign Reserves</c:v>
                </c:pt>
              </c:strCache>
            </c:strRef>
          </c:tx>
          <c:invertIfNegative val="0"/>
          <c:cat>
            <c:numRef>
              <c:f>Sheet1!$A$2:$A$5</c:f>
              <c:numCache>
                <c:formatCode>General</c:formatCode>
                <c:ptCount val="4"/>
                <c:pt idx="0">
                  <c:v>2015</c:v>
                </c:pt>
                <c:pt idx="1">
                  <c:v>2016</c:v>
                </c:pt>
                <c:pt idx="2">
                  <c:v>2017</c:v>
                </c:pt>
                <c:pt idx="3">
                  <c:v>2018</c:v>
                </c:pt>
              </c:numCache>
            </c:numRef>
          </c:cat>
          <c:val>
            <c:numRef>
              <c:f>Sheet1!$C$2:$C$5</c:f>
              <c:numCache>
                <c:formatCode>General</c:formatCode>
                <c:ptCount val="4"/>
                <c:pt idx="0">
                  <c:v>2.4</c:v>
                </c:pt>
                <c:pt idx="1">
                  <c:v>4.4000000000000004</c:v>
                </c:pt>
                <c:pt idx="2">
                  <c:v>1.8</c:v>
                </c:pt>
                <c:pt idx="3">
                  <c:v>2.8</c:v>
                </c:pt>
              </c:numCache>
            </c:numRef>
          </c:val>
        </c:ser>
        <c:dLbls>
          <c:showLegendKey val="0"/>
          <c:showVal val="0"/>
          <c:showCatName val="0"/>
          <c:showSerName val="0"/>
          <c:showPercent val="0"/>
          <c:showBubbleSize val="0"/>
        </c:dLbls>
        <c:gapWidth val="150"/>
        <c:axId val="173377792"/>
        <c:axId val="173380352"/>
      </c:barChart>
      <c:catAx>
        <c:axId val="173377792"/>
        <c:scaling>
          <c:orientation val="minMax"/>
        </c:scaling>
        <c:delete val="0"/>
        <c:axPos val="b"/>
        <c:numFmt formatCode="General" sourceLinked="1"/>
        <c:majorTickMark val="out"/>
        <c:minorTickMark val="none"/>
        <c:tickLblPos val="nextTo"/>
        <c:crossAx val="173380352"/>
        <c:crosses val="autoZero"/>
        <c:auto val="1"/>
        <c:lblAlgn val="ctr"/>
        <c:lblOffset val="100"/>
        <c:noMultiLvlLbl val="0"/>
      </c:catAx>
      <c:valAx>
        <c:axId val="173380352"/>
        <c:scaling>
          <c:orientation val="minMax"/>
        </c:scaling>
        <c:delete val="0"/>
        <c:axPos val="l"/>
        <c:majorGridlines/>
        <c:title>
          <c:tx>
            <c:rich>
              <a:bodyPr rot="0" vert="horz"/>
              <a:lstStyle/>
              <a:p>
                <a:pPr>
                  <a:defRPr/>
                </a:pPr>
                <a:r>
                  <a:rPr lang="en-US"/>
                  <a:t>Amount</a:t>
                </a:r>
                <a:r>
                  <a:rPr lang="en-US" baseline="0"/>
                  <a:t> of Foreign Currency in Billion USD</a:t>
                </a:r>
                <a:endParaRPr lang="en-US"/>
              </a:p>
            </c:rich>
          </c:tx>
          <c:overlay val="0"/>
        </c:title>
        <c:numFmt formatCode="General" sourceLinked="1"/>
        <c:majorTickMark val="out"/>
        <c:minorTickMark val="none"/>
        <c:tickLblPos val="nextTo"/>
        <c:crossAx val="17337779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Plo19</b:Tag>
    <b:SourceType>JournalArticle</b:SourceType>
    <b:Guid>{A712460B-BFBC-49A9-A35C-F97334630C86}</b:Guid>
    <b:Title>A strategic audit of Chipotle Mexican Grill, Inc.</b:Title>
    <b:Year>2019</b:Year>
    <b:JournalName>Honors Theses, University of Nebraska-Lincoln.</b:JournalName>
    <b:Pages>Issue 141</b:Pages>
    <b:Author>
      <b:Author>
        <b:NameList>
          <b:Person>
            <b:Last>Plowman</b:Last>
            <b:First>S</b:First>
          </b:Person>
        </b:NameList>
      </b:Author>
    </b:Author>
    <b:RefOrder>4</b:RefOrder>
  </b:Source>
  <b:Source>
    <b:Tag>SEC18</b:Tag>
    <b:SourceType>Book</b:SourceType>
    <b:Guid>{0DB3DBD8-199E-4BEB-A35E-E40D3CAAA336}</b:Guid>
    <b:Title>Chipotle Mexican Grill, Inc. Form 10-K, </b:Title>
    <b:Year>2018</b:Year>
    <b:Author>
      <b:Author>
        <b:Corporate>SEC</b:Corporate>
      </b:Author>
    </b:Author>
    <b:City>Washington, DC.</b:City>
    <b:Publisher>AUTHOR</b:Publisher>
    <b:RefOrder>2</b:RefOrder>
  </b:Source>
  <b:Source>
    <b:Tag>Chi19</b:Tag>
    <b:SourceType>Book</b:SourceType>
    <b:Guid>{B560A5A1-9665-49E0-983B-714462664ED1}</b:Guid>
    <b:Author>
      <b:Author>
        <b:Corporate>Chipotle.com</b:Corporate>
      </b:Author>
    </b:Author>
    <b:Title>Chipotle Mexican Grill, Inc</b:Title>
    <b:Year>2019</b:Year>
    <b:RefOrder>6</b:RefOrder>
  </b:Source>
  <b:Source>
    <b:Tag>Das18</b:Tag>
    <b:SourceType>ArticleInAPeriodical</b:SourceType>
    <b:Guid>{CFE1A39B-CBDB-4949-B30F-9E4BD86A0683}</b:Guid>
    <b:Title>The history of Chipotle Mexican Grill,”</b:Title>
    <b:Year>2018</b:Year>
    <b:PeriodicalTitle>The Balanesmb</b:PeriodicalTitle>
    <b:Month>December</b:Month>
    <b:Day>12</b:Day>
    <b:Author>
      <b:Author>
        <b:NameList>
          <b:Person>
            <b:Last>Daszkowski</b:Last>
            <b:First>D</b:First>
          </b:Person>
        </b:NameList>
      </b:Author>
    </b:Author>
    <b:RefOrder>3</b:RefOrder>
  </b:Source>
  <b:Source>
    <b:Tag>Whi18</b:Tag>
    <b:SourceType>ArticleInAPeriodical</b:SourceType>
    <b:Guid>{99AC39BE-6B94-4825-8357-71D701D7D9CC}</b:Guid>
    <b:Title>Chipotle to close Denver, New York offices and move headquarters to Southern California</b:Title>
    <b:PeriodicalTitle>The CBNC</b:PeriodicalTitle>
    <b:Year>2018</b:Year>
    <b:Month>May</b:Month>
    <b:Day>23</b:Day>
    <b:Author>
      <b:Author>
        <b:NameList>
          <b:Person>
            <b:Last>Whitten</b:Last>
            <b:First>S</b:First>
          </b:Person>
        </b:NameList>
      </b:Author>
    </b:Author>
    <b:RefOrder>1</b:RefOrder>
  </b:Source>
  <b:Source>
    <b:Tag>Foc19</b:Tag>
    <b:SourceType>ArticleInAPeriodical</b:SourceType>
    <b:Guid>{49B59DB2-68F4-486F-8587-9566CD24AA61}</b:Guid>
    <b:Title>Nordic economic outlook,”</b:Title>
    <b:Year>2019</b:Year>
    <b:Author>
      <b:Author>
        <b:Corporate>Focus-Economics</b:Corporate>
      </b:Author>
    </b:Author>
    <b:Month>February</b:Month>
    <b:Day>26</b:Day>
    <b:PeriodicalTitle> AUTHOR</b:PeriodicalTitle>
    <b:RefOrder>5</b:RefOrder>
  </b:Source>
  <b:Source>
    <b:Tag>Nor15</b:Tag>
    <b:SourceType>ConferenceProceedings</b:SourceType>
    <b:Guid>{7B33DDC4-3C6E-409F-B25F-993837FF1C78}</b:Guid>
    <b:Title>Proceedings from the Program New Nordic Food II, 2010-2014:, </b:Title>
    <b:Year>2015</b:Year>
    <b:City>Copenhagen, Denmark</b:City>
    <b:Publisher>Norden</b:Publisher>
    <b:Author>
      <b:Author>
        <b:Corporate>Nordic Council of Minister</b:Corporate>
      </b:Author>
    </b:Author>
    <b:ConferenceName> For the final report on the emergence of a new Nordic food culture</b:ConferenceName>
    <b:RefOrder>7</b:RefOrder>
  </b:Source>
  <b:Source>
    <b:Tag>Mäk11</b:Tag>
    <b:SourceType>Book</b:SourceType>
    <b:Guid>{1E0C677C-4C36-4A6C-B4FE-DF4578AED7FD}</b:Guid>
    <b:Title>Nordic young health: Possibilities and barriers for new healthy concepts in the fast food sector</b:Title>
    <b:Year>2011</b:Year>
    <b:City>Oslo, Norway</b:City>
    <b:Publisher>Nordic Innovatio</b:Publisher>
    <b:Author>
      <b:Author>
        <b:NameList>
          <b:Person>
            <b:Last>Mäkelä</b:Last>
          </b:Person>
          <b:Person>
            <b:Last>Lillebø</b:Last>
          </b:Person>
          <b:Person>
            <b:Last>Lammi</b:Last>
          </b:Person>
        </b:NameList>
      </b:Author>
    </b:Author>
    <b:RefOrder>11</b:RefOrder>
  </b:Source>
  <b:Source>
    <b:Tag>Sol18</b:Tag>
    <b:SourceType>ArticleInAPeriodical</b:SourceType>
    <b:Guid>{29847C54-DB7C-4ABC-9506-48B8BC18639A}</b:Guid>
    <b:Title>Norway implements new rules controlling foreign ownership,”</b:Title>
    <b:Year>2018</b:Year>
    <b:PeriodicalTitle>The Global Compliance News,</b:PeriodicalTitle>
    <b:Month>February</b:Month>
    <b:Day>23</b:Day>
    <b:Author>
      <b:Author>
        <b:NameList>
          <b:Person>
            <b:Last>Solberg</b:Last>
          </b:Person>
        </b:NameList>
      </b:Author>
    </b:Author>
    <b:RefOrder>8</b:RefOrder>
  </b:Source>
  <b:Source>
    <b:Tag>USD15</b:Tag>
    <b:SourceType>Book</b:SourceType>
    <b:Guid>{A0632BD1-ACD2-4137-9095-44D82D011D9A}</b:Guid>
    <b:Author>
      <b:Author>
        <b:Corporate>U.S. Department of State</b:Corporate>
      </b:Author>
    </b:Author>
    <b:Title>2015 Investment climate survey-Nordic Region,</b:Title>
    <b:Year>2015</b:Year>
    <b:City> Washington, DC</b:City>
    <b:RefOrder>10</b:RefOrder>
  </b:Source>
  <b:Source>
    <b:Tag>Reh19</b:Tag>
    <b:SourceType>Book</b:SourceType>
    <b:Guid>{98AFEA20-4705-4254-B0D4-911E2038747D}</b:Guid>
    <b:Title>Doing business in Sweden: Overview,</b:Title>
    <b:Year>2019</b:Year>
    <b:City>London, UK</b:City>
    <b:Publisher>homson-Reuters</b:Publisher>
    <b:Author>
      <b:Author>
        <b:NameList>
          <b:Person>
            <b:Last>Rehn</b:Last>
          </b:Person>
          <b:Person>
            <b:Last>Kindgren-Bengtsson </b:Last>
          </b:Person>
          <b:Person>
            <b:Last>Myrén</b:Last>
          </b:Person>
          <b:Person>
            <b:Last> Norderyd</b:Last>
          </b:Person>
          <b:Person>
            <b:Last>Lindahl</b:Last>
          </b:Person>
        </b:NameList>
      </b:Author>
    </b:Author>
    <b:RefOrder>9</b:RefOrder>
  </b:Source>
</b:Sources>
</file>

<file path=customXml/itemProps1.xml><?xml version="1.0" encoding="utf-8"?>
<ds:datastoreItem xmlns:ds="http://schemas.openxmlformats.org/officeDocument/2006/customXml" ds:itemID="{C52E75C5-182A-4C87-9078-73ECA72AD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8990</Words>
  <Characters>51245</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2019-11-26T14:10:00Z</dcterms:created>
  <dcterms:modified xsi:type="dcterms:W3CDTF">2019-12-02T01:30:00Z</dcterms:modified>
</cp:coreProperties>
</file>